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/>
      </w:pPr>
      <w:r>
        <w:rPr>
          <w:rFonts w:ascii="Calibri" w:cs="Calibri" w:eastAsia="Calibri" w:hAnsi="Calibri"/>
          <w:b/>
          <w:bCs/>
          <w:color w:val="C4914A"/>
          <w:spacing w:val="30"/>
          <w:sz w:val="18"/>
          <w:szCs w:val="18"/>
        </w:rPr>
        <w:t xml:space="preserve">INDIKATÍVNE OCENENIE A ODPORÚČANIE</w:t>
      </w:r>
    </w:p>
    <w:p>
      <w:pPr>
        <w:spacing w:after="80"/>
      </w:pPr>
      <w:r>
        <w:rPr>
          <w:rFonts w:ascii="Calibri" w:cs="Calibri" w:eastAsia="Calibri" w:hAnsi="Calibri"/>
          <w:b/>
          <w:bCs/>
          <w:color w:val="2D5F3F"/>
          <w:sz w:val="44"/>
          <w:szCs w:val="44"/>
        </w:rPr>
        <w:t xml:space="preserve">AGROHELP, s.r.o.</w:t>
      </w:r>
    </w:p>
    <w:p>
      <w:pPr>
        <w:spacing w:after="360"/>
      </w:pPr>
      <w:r>
        <w:rPr>
          <w:rFonts w:ascii="Calibri" w:cs="Calibri" w:eastAsia="Calibri" w:hAnsi="Calibri"/>
          <w:i/>
          <w:iCs/>
          <w:color w:val="6B6B6B"/>
          <w:sz w:val="26"/>
          <w:szCs w:val="26"/>
        </w:rPr>
        <w:t xml:space="preserve">Koľko cash by sa malo dať majiteľom — môj záver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9"/>
        <w:gridCol w:w="2409"/>
        <w:gridCol w:w="2409"/>
        <w:gridCol w:w="2411"/>
      </w:tblGrid>
      <w:tr>
        <w:tc>
          <w:tcPr>
            <w:tcW w:type="dxa" w:w="240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Subjekt</w:t>
            </w:r>
          </w:p>
        </w:tc>
        <w:tc>
          <w:tcPr>
            <w:tcW w:type="dxa" w:w="240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Lokalita</w:t>
            </w:r>
          </w:p>
        </w:tc>
        <w:tc>
          <w:tcPr>
            <w:tcW w:type="dxa" w:w="240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Výmera</w:t>
            </w:r>
          </w:p>
        </w:tc>
        <w:tc>
          <w:tcPr>
            <w:tcW w:type="dxa" w:w="2411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Dátum</w:t>
            </w:r>
          </w:p>
        </w:tc>
      </w:tr>
      <w:tr>
        <w:tc>
          <w:tcPr>
            <w:tcW w:type="dxa" w:w="240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AGROHELP, s.r.o.; IČO 36 020 061</w:t>
            </w:r>
          </w:p>
        </w:tc>
        <w:tc>
          <w:tcPr>
            <w:tcW w:type="dxa" w:w="240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Heľpa, okr. Brezno (Horehronie)</w:t>
            </w:r>
          </w:p>
        </w:tc>
        <w:tc>
          <w:tcPr>
            <w:tcW w:type="dxa" w:w="240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744,8 ha (LPIS 2025); 16 budov v Heľpe</w:t>
            </w:r>
          </w:p>
        </w:tc>
        <w:tc>
          <w:tcPr>
            <w:tcW w:type="dxa" w:w="2411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3. máj 2026; výkazy 2013–2025</w:t>
            </w:r>
          </w:p>
        </w:tc>
      </w:tr>
    </w:tbl>
    <w:p>
      <w:pPr>
        <w:spacing w:after="240"/>
      </w:pPr>
      <w:r>
        <w:t xml:space="preserve"/>
      </w:r>
    </w:p>
    <w:p>
      <w:pPr>
        <w:pStyle w:val="Heading1"/>
        <w:spacing w:after="200" w:before="360"/>
      </w:pPr>
      <w:r>
        <w:rPr>
          <w:rFonts w:ascii="Calibri" w:cs="Calibri" w:eastAsia="Calibri" w:hAnsi="Calibri"/>
          <w:b/>
          <w:bCs/>
          <w:color w:val="2D5F3F"/>
          <w:sz w:val="32"/>
          <w:szCs w:val="32"/>
        </w:rPr>
        <w:t xml:space="preserve">Záver — koľko by som dal majiteľom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Po preštudovaní 13-ročných výkazov, výpisu 16 hospodárskych budov v Heľpe (LV 1347) a žiadosti LPIS na 744,8 ha v okrese Brezno mám pomerne jasný obraz. </w:t>
      </w:r>
      <w:r>
        <w:rPr>
          <w:rFonts w:ascii="Calibri" w:cs="Calibri" w:eastAsia="Calibri" w:hAnsi="Calibri"/>
          <w:b/>
          <w:bCs/>
          <w:sz w:val="22"/>
          <w:szCs w:val="22"/>
        </w:rPr>
        <w:t xml:space="preserve">Moja indikatívna ponuka spoločníkovi (resp. dvom spoločníkom, ak ide o dvoch) je: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975"/>
        <w:gridCol w:w="3663"/>
      </w:tblGrid>
      <w:tr>
        <w:tc>
          <w:tcPr>
            <w:tcW w:type="dxa" w:w="5975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E5F1EB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2"/>
                <w:szCs w:val="22"/>
              </w:rPr>
              <w:t xml:space="preserve">Vyplatenie pôžičky spoločníka (záväzok firmy)</w:t>
            </w:r>
          </w:p>
        </w:tc>
        <w:tc>
          <w:tcPr>
            <w:tcW w:type="dxa" w:w="366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E5F1EB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2"/>
                <w:szCs w:val="22"/>
              </w:rPr>
              <w:t xml:space="preserve">322 000 €</w:t>
            </w:r>
          </w:p>
        </w:tc>
      </w:tr>
      <w:tr>
        <w:tc>
          <w:tcPr>
            <w:tcW w:type="dxa" w:w="5975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E5F1EB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2"/>
                <w:szCs w:val="22"/>
              </w:rPr>
              <w:t xml:space="preserve">Cena za 100 % obchodný podiel (shares)</w:t>
            </w:r>
          </w:p>
        </w:tc>
        <w:tc>
          <w:tcPr>
            <w:tcW w:type="dxa" w:w="366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E5F1EB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2"/>
                <w:szCs w:val="22"/>
              </w:rPr>
              <w:t xml:space="preserve">780 000 – 850 000 €</w:t>
            </w:r>
          </w:p>
        </w:tc>
      </w:tr>
      <w:tr>
        <w:tc>
          <w:tcPr>
            <w:tcW w:type="dxa" w:w="5975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4"/>
                <w:szCs w:val="24"/>
              </w:rPr>
              <w:t xml:space="preserve">SPOLU CASH SPOLOČNÍKOM (stredná hodnota)</w:t>
            </w:r>
          </w:p>
        </w:tc>
        <w:tc>
          <w:tcPr>
            <w:tcW w:type="dxa" w:w="366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8"/>
                <w:szCs w:val="28"/>
              </w:rPr>
              <w:t xml:space="preserve">cca 1 120 000 €</w:t>
            </w:r>
          </w:p>
        </w:tc>
      </w:tr>
    </w:tbl>
    <w:p>
      <w:pPr>
        <w:spacing w:after="200"/>
      </w:pPr>
      <w:r>
        <w:t xml:space="preserve"/>
      </w:r>
    </w:p>
    <w:p>
      <w:pPr>
        <w:spacing w:after="140" w:line="300"/>
        <w:jc w:val="both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Vyjednávací rozsah: </w:t>
      </w:r>
      <w:r>
        <w:rPr>
          <w:rFonts w:ascii="Calibri" w:cs="Calibri" w:eastAsia="Calibri" w:hAnsi="Calibri"/>
          <w:sz w:val="22"/>
          <w:szCs w:val="22"/>
        </w:rPr>
        <w:t xml:space="preserve">955 tis. – 1,32 mil. € spolu (vrátane vyplatenia pôžičky). Začiatočná ponuka by išla na </w:t>
      </w:r>
      <w:r>
        <w:rPr>
          <w:rFonts w:ascii="Calibri" w:cs="Calibri" w:eastAsia="Calibri" w:hAnsi="Calibri"/>
          <w:b/>
          <w:bCs/>
          <w:sz w:val="22"/>
          <w:szCs w:val="22"/>
        </w:rPr>
        <w:t xml:space="preserve">cca 950 tis. €</w:t>
      </w:r>
      <w:r>
        <w:rPr>
          <w:rFonts w:ascii="Calibri" w:cs="Calibri" w:eastAsia="Calibri" w:hAnsi="Calibri"/>
          <w:sz w:val="22"/>
          <w:szCs w:val="22"/>
        </w:rPr>
        <w:t xml:space="preserve"> s priestorom dotiahnuť na </w:t>
      </w:r>
      <w:r>
        <w:rPr>
          <w:rFonts w:ascii="Calibri" w:cs="Calibri" w:eastAsia="Calibri" w:hAnsi="Calibri"/>
          <w:b/>
          <w:bCs/>
          <w:sz w:val="22"/>
          <w:szCs w:val="22"/>
        </w:rPr>
        <w:t xml:space="preserve">cca 1,15 mil. €</w:t>
      </w:r>
      <w:r>
        <w:rPr>
          <w:rFonts w:ascii="Calibri" w:cs="Calibri" w:eastAsia="Calibri" w:hAnsi="Calibri"/>
          <w:sz w:val="22"/>
          <w:szCs w:val="22"/>
        </w:rPr>
        <w:t xml:space="preserve"> ak sa potvrdí kvalita nájomných zmlúv, technický stav stavieb a stádo.</w:t>
      </w:r>
    </w:p>
    <w:p>
      <w:pPr>
        <w:pStyle w:val="Heading1"/>
        <w:spacing w:after="200" w:before="360"/>
      </w:pPr>
      <w:r>
        <w:rPr>
          <w:rFonts w:ascii="Calibri" w:cs="Calibri" w:eastAsia="Calibri" w:hAnsi="Calibri"/>
          <w:b/>
          <w:bCs/>
          <w:color w:val="2D5F3F"/>
          <w:sz w:val="32"/>
          <w:szCs w:val="32"/>
        </w:rPr>
        <w:t xml:space="preserve">Prečo táto cena — logika za číslom</w:t>
      </w:r>
    </w:p>
    <w:p>
      <w:pPr>
        <w:pStyle w:val="Heading3"/>
        <w:spacing w:after="100" w:before="200"/>
      </w:pPr>
      <w:r>
        <w:rPr>
          <w:rFonts w:ascii="Calibri" w:cs="Calibri" w:eastAsia="Calibri" w:hAnsi="Calibri"/>
          <w:b/>
          <w:bCs/>
          <w:color w:val="1A1A1A"/>
          <w:sz w:val="22"/>
          <w:szCs w:val="22"/>
        </w:rPr>
        <w:t xml:space="preserve">Tri vrstvy hodnoty firmy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AGROHELP nemá veľké voľné cash flow nezávislé od dotácií, ale má </w:t>
      </w:r>
      <w:r>
        <w:rPr>
          <w:rFonts w:ascii="Calibri" w:cs="Calibri" w:eastAsia="Calibri" w:hAnsi="Calibri"/>
          <w:b/>
          <w:bCs/>
          <w:sz w:val="22"/>
          <w:szCs w:val="22"/>
        </w:rPr>
        <w:t xml:space="preserve">tri konkrétne vrstvy hmotnej hodnoty</w:t>
      </w:r>
      <w:r>
        <w:rPr>
          <w:rFonts w:ascii="Calibri" w:cs="Calibri" w:eastAsia="Calibri" w:hAnsi="Calibri"/>
          <w:sz w:val="22"/>
          <w:szCs w:val="22"/>
        </w:rPr>
        <w:t xml:space="preserve">, z ktorých dve sú v účtovníctve výrazne podhodnotené: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A. Hospodárske budovy — knižná zostatková cena 127 tis. €. </w:t>
      </w:r>
      <w:r>
        <w:rPr>
          <w:rFonts w:ascii="Calibri" w:cs="Calibri" w:eastAsia="Calibri" w:hAnsi="Calibri"/>
          <w:sz w:val="22"/>
          <w:szCs w:val="22"/>
        </w:rPr>
        <w:t xml:space="preserve">16 stavieb v Heľpe na LV 1347: dve maštaľne pre dojnice, odchovňa, pôrodňa, zemiakareň, tri seníky (z toho dva so solárom), štyri hnojné žumpy, viacúčelový sklad, váha. </w:t>
      </w:r>
      <w:r>
        <w:rPr>
          <w:rFonts w:ascii="Calibri" w:cs="Calibri" w:eastAsia="Calibri" w:hAnsi="Calibri"/>
          <w:b/>
          <w:bCs/>
          <w:sz w:val="22"/>
          <w:szCs w:val="22"/>
        </w:rPr>
        <w:t xml:space="preserve">Replacement cost (nová výstavba) je 1,5–2,5 mil. €, fair value v aktuálnom stave a lokalite 600–1 000 tis. €.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B. Užívacie práva na 745 ha — knižná hodnota 0 €. </w:t>
      </w:r>
      <w:r>
        <w:rPr>
          <w:rFonts w:ascii="Calibri" w:cs="Calibri" w:eastAsia="Calibri" w:hAnsi="Calibri"/>
          <w:sz w:val="22"/>
          <w:szCs w:val="22"/>
        </w:rPr>
        <w:t xml:space="preserve">295 ha orná pôda + 449 ha trvalý trávny porast, takmer celé v jednej KÚ Heľpa. Tieto zmluvy a viazané dotácie (Mountain ANC, BISS, Eko-schémy) sú obchodovateľné. </w:t>
      </w:r>
      <w:r>
        <w:rPr>
          <w:rFonts w:ascii="Calibri" w:cs="Calibri" w:eastAsia="Calibri" w:hAnsi="Calibri"/>
          <w:b/>
          <w:bCs/>
          <w:sz w:val="22"/>
          <w:szCs w:val="22"/>
        </w:rPr>
        <w:t xml:space="preserve">Trhová cena pre Brezno (mountain): 250–650 €/ha = 200–450 tis. € spolu.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C. Stádo, stroje, zásoby, pohľadávky, cash — knižná hodnota 545 tis. €. </w:t>
      </w:r>
      <w:r>
        <w:rPr>
          <w:rFonts w:ascii="Calibri" w:cs="Calibri" w:eastAsia="Calibri" w:hAnsi="Calibri"/>
          <w:sz w:val="22"/>
          <w:szCs w:val="22"/>
        </w:rPr>
        <w:t xml:space="preserve">Stáda 87k (dojnice, ceny mlieka 2025 silné), stroje 85k, pestovateľské celky 52k, zásoby 145k, pohľadávky 355k (z toho daňové 89k = isté), cash 165k. Reálna hodnota blízko knižnej, mierne nad ňou.</w:t>
      </w:r>
    </w:p>
    <w:p>
      <w:pPr>
        <w:pStyle w:val="Heading3"/>
        <w:spacing w:after="100" w:before="200"/>
      </w:pPr>
      <w:r>
        <w:rPr>
          <w:rFonts w:ascii="Calibri" w:cs="Calibri" w:eastAsia="Calibri" w:hAnsi="Calibri"/>
          <w:b/>
          <w:bCs/>
          <w:color w:val="1A1A1A"/>
          <w:sz w:val="22"/>
          <w:szCs w:val="22"/>
        </w:rPr>
        <w:t xml:space="preserve">Tri metódy ocenenia – výsledky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855"/>
        <w:gridCol w:w="1927"/>
        <w:gridCol w:w="1927"/>
        <w:gridCol w:w="1929"/>
      </w:tblGrid>
      <w:tr>
        <w:tc>
          <w:tcPr>
            <w:tcW w:type="dxa" w:w="3855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Metóda</w:t>
            </w:r>
          </w:p>
        </w:tc>
        <w:tc>
          <w:tcPr>
            <w:tcW w:type="dxa" w:w="1927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Konzervat.</w:t>
            </w:r>
          </w:p>
        </w:tc>
        <w:tc>
          <w:tcPr>
            <w:tcW w:type="dxa" w:w="1927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Stredná</w:t>
            </w:r>
          </w:p>
        </w:tc>
        <w:tc>
          <w:tcPr>
            <w:tcW w:type="dxa" w:w="192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Optimistická</w:t>
            </w:r>
          </w:p>
        </w:tc>
      </w:tr>
      <w:tr>
        <w:tc>
          <w:tcPr>
            <w:tcW w:type="dxa" w:w="3855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1. Adjustované NAV (replacement-based)</w:t>
            </w:r>
          </w:p>
        </w:tc>
        <w:tc>
          <w:tcPr>
            <w:tcW w:type="dxa" w:w="1927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723 tis. €</w:t>
            </w:r>
          </w:p>
        </w:tc>
        <w:tc>
          <w:tcPr>
            <w:tcW w:type="dxa" w:w="1927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1 208 tis. €</w:t>
            </w:r>
          </w:p>
        </w:tc>
        <w:tc>
          <w:tcPr>
            <w:tcW w:type="dxa" w:w="192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1 696 tis. €</w:t>
            </w:r>
          </w:p>
        </w:tc>
      </w:tr>
      <w:tr>
        <w:tc>
          <w:tcPr>
            <w:tcW w:type="dxa" w:w="3855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2. EV/EBITDA multiple (3,5–5,0×)</w:t>
            </w:r>
          </w:p>
        </w:tc>
        <w:tc>
          <w:tcPr>
            <w:tcW w:type="dxa" w:w="1927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384 tis. €</w:t>
            </w:r>
          </w:p>
        </w:tc>
        <w:tc>
          <w:tcPr>
            <w:tcW w:type="dxa" w:w="1927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674 tis. €</w:t>
            </w:r>
          </w:p>
        </w:tc>
        <w:tc>
          <w:tcPr>
            <w:tcW w:type="dxa" w:w="192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934 tis. €</w:t>
            </w:r>
          </w:p>
        </w:tc>
      </w:tr>
      <w:tr>
        <w:tc>
          <w:tcPr>
            <w:tcW w:type="dxa" w:w="3855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3. DCF kontrola (steady-state)</w:t>
            </w:r>
          </w:p>
        </w:tc>
        <w:tc>
          <w:tcPr>
            <w:tcW w:type="dxa" w:w="1927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794 tis. €</w:t>
            </w:r>
          </w:p>
        </w:tc>
        <w:tc>
          <w:tcPr>
            <w:tcW w:type="dxa" w:w="1927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1 017 tis. €</w:t>
            </w:r>
          </w:p>
        </w:tc>
        <w:tc>
          <w:tcPr>
            <w:tcW w:type="dxa" w:w="192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1 100 tis. €</w:t>
            </w:r>
          </w:p>
        </w:tc>
      </w:tr>
      <w:tr>
        <w:tc>
          <w:tcPr>
            <w:tcW w:type="dxa" w:w="3855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8E8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Vážený stred (cena za podiel)</w:t>
            </w:r>
          </w:p>
        </w:tc>
        <w:tc>
          <w:tcPr>
            <w:tcW w:type="dxa" w:w="1927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8E8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cca 450 tis. €</w:t>
            </w:r>
          </w:p>
        </w:tc>
        <w:tc>
          <w:tcPr>
            <w:tcW w:type="dxa" w:w="1927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8E8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cca 800 tis. €</w:t>
            </w:r>
          </w:p>
        </w:tc>
        <w:tc>
          <w:tcPr>
            <w:tcW w:type="dxa" w:w="192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8E8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cca 1 100 tis. €</w:t>
            </w:r>
          </w:p>
        </w:tc>
      </w:tr>
    </w:tbl>
    <w:p>
      <w:pPr>
        <w:spacing w:after="160"/>
      </w:pPr>
      <w:r>
        <w:t xml:space="preserve"/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Tri nezávislé metódy konvergujú do podobného pásma. NAV ide vyššie (lebo cení replacement hodnotu budov), EV/EBITDA nižšie (lebo cení udržateľný cash flow). Stred </w:t>
      </w:r>
      <w:r>
        <w:rPr>
          <w:rFonts w:ascii="Calibri" w:cs="Calibri" w:eastAsia="Calibri" w:hAnsi="Calibri"/>
          <w:b/>
          <w:bCs/>
          <w:sz w:val="22"/>
          <w:szCs w:val="22"/>
        </w:rPr>
        <w:t xml:space="preserve">cca 800 tis. € za 100 % obchodný podiel</w:t>
      </w:r>
      <w:r>
        <w:rPr>
          <w:rFonts w:ascii="Calibri" w:cs="Calibri" w:eastAsia="Calibri" w:hAnsi="Calibri"/>
          <w:sz w:val="22"/>
          <w:szCs w:val="22"/>
        </w:rPr>
        <w:t xml:space="preserve"> je rozumný pre strategického agro-kupujúceho v rámci konsolidácie Horehronia.</w:t>
      </w:r>
    </w:p>
    <w:p>
      <w:r>
        <w:br w:type="page"/>
      </w:r>
    </w:p>
    <w:p>
      <w:pPr>
        <w:pStyle w:val="Heading1"/>
        <w:spacing w:after="200" w:before="360"/>
      </w:pPr>
      <w:r>
        <w:rPr>
          <w:rFonts w:ascii="Calibri" w:cs="Calibri" w:eastAsia="Calibri" w:hAnsi="Calibri"/>
          <w:b/>
          <w:bCs/>
          <w:color w:val="2D5F3F"/>
          <w:sz w:val="32"/>
          <w:szCs w:val="32"/>
        </w:rPr>
        <w:t xml:space="preserve">Rozklad cash flow ku spoločníkovi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Spoločník dostane peniaze v dvoch tokoch. Prvý je vrátenie pôžičky (záväzok firmy voči spoločníkovi 322 tis. € k 31. 12. 2025), druhý je odpredaj 100 % obchodného podielu. V účtovnej pozícii spoločníka v Sanagro alebo iného agroinvestora to vyzerá takto: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300"/>
        <w:gridCol w:w="2168"/>
        <w:gridCol w:w="2170"/>
      </w:tblGrid>
      <w:tr>
        <w:tc>
          <w:tcPr>
            <w:tcW w:type="dxa" w:w="53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Tok / položka</w:t>
            </w:r>
          </w:p>
        </w:tc>
        <w:tc>
          <w:tcPr>
            <w:tcW w:type="dxa" w:w="216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Charakter</w:t>
            </w:r>
          </w:p>
        </w:tc>
        <w:tc>
          <w:tcPr>
            <w:tcW w:type="dxa" w:w="217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Suma (€)</w:t>
            </w:r>
          </w:p>
        </w:tc>
      </w:tr>
      <w:tr>
        <w:tc>
          <w:tcPr>
            <w:tcW w:type="dxa" w:w="53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1) Vyplatenie pôžičky spoločníka (kapitálová položka, nezdaňuje sa)</w:t>
            </w:r>
          </w:p>
        </w:tc>
        <w:tc>
          <w:tcPr>
            <w:tcW w:type="dxa" w:w="216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18"/>
                <w:szCs w:val="18"/>
              </w:rPr>
              <w:t xml:space="preserve">Vrátenie istiny</w:t>
            </w:r>
          </w:p>
        </w:tc>
        <w:tc>
          <w:tcPr>
            <w:tcW w:type="dxa" w:w="217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322 000</w:t>
            </w:r>
          </w:p>
        </w:tc>
      </w:tr>
      <w:tr>
        <w:tc>
          <w:tcPr>
            <w:tcW w:type="dxa" w:w="53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2) Cena za 100 % obchodný podiel (zdaňované u spoločníka)</w:t>
            </w:r>
          </w:p>
        </w:tc>
        <w:tc>
          <w:tcPr>
            <w:tcW w:type="dxa" w:w="216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18"/>
                <w:szCs w:val="18"/>
              </w:rPr>
              <w:t xml:space="preserve">Príjem z predaja</w:t>
            </w:r>
          </w:p>
        </w:tc>
        <w:tc>
          <w:tcPr>
            <w:tcW w:type="dxa" w:w="217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780 000 – 850 000</w:t>
            </w:r>
          </w:p>
        </w:tc>
      </w:tr>
      <w:tr>
        <w:tc>
          <w:tcPr>
            <w:tcW w:type="dxa" w:w="53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Spolu (stredná hodnota)</w:t>
            </w:r>
          </w:p>
        </w:tc>
        <w:tc>
          <w:tcPr>
            <w:tcW w:type="dxa" w:w="216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Brutto</w:t>
            </w:r>
          </w:p>
        </w:tc>
        <w:tc>
          <w:tcPr>
            <w:tcW w:type="dxa" w:w="217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4"/>
                <w:szCs w:val="24"/>
              </w:rPr>
              <w:t xml:space="preserve">cca 1 120 000</w:t>
            </w:r>
          </w:p>
        </w:tc>
      </w:tr>
    </w:tbl>
    <w:p>
      <w:pPr>
        <w:spacing w:after="200"/>
      </w:pPr>
      <w:r>
        <w:t xml:space="preserve"/>
      </w:r>
    </w:p>
    <w:p>
      <w:pPr>
        <w:spacing w:after="140" w:line="300"/>
        <w:jc w:val="both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Pozn. ku zdaneniu: </w:t>
      </w:r>
      <w:r>
        <w:rPr>
          <w:rFonts w:ascii="Calibri" w:cs="Calibri" w:eastAsia="Calibri" w:hAnsi="Calibri"/>
          <w:sz w:val="22"/>
          <w:szCs w:val="22"/>
        </w:rPr>
        <w:t xml:space="preserve">Vyplatenie pôžičky je iba vrátenie istiny — pre spoločníka daňovo neutrálne. Cena za podiel u fyzickej osoby spoločníka môže byť oslobodená od dane z príjmu, ak vlastní podiel viac ako 5 rokov a ide o predaj v rámci § 9 zákona o dani z príjmov (overenie cez daňového poradcu — toto NIE je daňové poradenstvo).</w:t>
      </w:r>
    </w:p>
    <w:p>
      <w:pPr>
        <w:pStyle w:val="Heading3"/>
        <w:spacing w:after="100" w:before="200"/>
      </w:pPr>
      <w:r>
        <w:rPr>
          <w:rFonts w:ascii="Calibri" w:cs="Calibri" w:eastAsia="Calibri" w:hAnsi="Calibri"/>
          <w:b/>
          <w:bCs/>
          <w:color w:val="1A1A1A"/>
          <w:sz w:val="22"/>
          <w:szCs w:val="22"/>
        </w:rPr>
        <w:t xml:space="preserve">Štruktúra splátok – odporúčanie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Časť pri podpise (closing): cca 60 % = cca 670 tis. €.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Časť do escrow / na záruky (12–18 mesiacov): cca 25 % = cca 280 tis. € — kryje technické riziká stavieb, kvalitu nájomných zmlúv a dotačné nálezy.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Earn-out viazaný na potvrdenie EBITDA 2026 nad 200 tis. €: cca 15 % = cca 170 tis. €.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Takáto štruktúra chráni kupujúceho pred prekvapeniami a zároveň dáva predávajúcemu šancu získať plnú cenu, ak je firma skutočne v stave, ako tvrdí.</w:t>
      </w:r>
    </w:p>
    <w:p>
      <w:r>
        <w:br w:type="page"/>
      </w:r>
    </w:p>
    <w:p>
      <w:pPr>
        <w:pStyle w:val="Heading1"/>
        <w:spacing w:after="200" w:before="360"/>
      </w:pPr>
      <w:r>
        <w:rPr>
          <w:rFonts w:ascii="Calibri" w:cs="Calibri" w:eastAsia="Calibri" w:hAnsi="Calibri"/>
          <w:b/>
          <w:bCs/>
          <w:color w:val="2D5F3F"/>
          <w:sz w:val="32"/>
          <w:szCs w:val="32"/>
        </w:rPr>
        <w:t xml:space="preserve">Prečo nie viac, prečo nie menej</w:t>
      </w:r>
    </w:p>
    <w:p>
      <w:pPr>
        <w:pStyle w:val="Heading2"/>
        <w:spacing w:after="140" w:before="280"/>
      </w:pPr>
      <w:r>
        <w:rPr>
          <w:rFonts w:ascii="Calibri" w:cs="Calibri" w:eastAsia="Calibri" w:hAnsi="Calibri"/>
          <w:b/>
          <w:bCs/>
          <w:color w:val="2D5F3F"/>
          <w:sz w:val="26"/>
          <w:szCs w:val="26"/>
        </w:rPr>
        <w:t xml:space="preserve">Prečo nie viac (faktory tlačiace cenu nadol)</w:t>
      </w:r>
    </w:p>
    <w:p>
      <w:pPr>
        <w:pStyle w:val="ListParagraph"/>
        <w:numPr>
          <w:ilvl w:val="0"/>
          <w:numId w:val="3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Earnings power je závislá od dotácií. Ostatné výnosy z hospodárskej činnosti tvoria 75–95 % prevádzkového balíka. V 2023 bola pridaná hodnota záporná (-39 tis. €), v 2022 takmer nulová (276 €). Po reforme CAP (2027+) je toto politické riziko.</w:t>
      </w:r>
    </w:p>
    <w:p>
      <w:pPr>
        <w:pStyle w:val="ListParagraph"/>
        <w:numPr>
          <w:ilvl w:val="0"/>
          <w:numId w:val="3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Likvidita 3. stupňa 0,93 — obežný majetok nepokrýva krátkodobé záväzky. Kupujúci si bude musieť priniesť working capital alebo dohodnúť kontokorent.</w:t>
      </w:r>
    </w:p>
    <w:p>
      <w:pPr>
        <w:pStyle w:val="ListParagraph"/>
        <w:numPr>
          <w:ilvl w:val="0"/>
          <w:numId w:val="3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Heľpa je horská lokalita s obmedzeným počtom potenciálnych kupujúcich. Pri eventuálnom budúcom predaji likvidita aktíva nízka.</w:t>
      </w:r>
    </w:p>
    <w:p>
      <w:pPr>
        <w:pStyle w:val="ListParagraph"/>
        <w:numPr>
          <w:ilvl w:val="0"/>
          <w:numId w:val="3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Pokles vlastného imania v 2024 z 343 tis. € na 125 tis. € pri zisku 105 tis. € znamená výplatu cca 320 tis. € (dividenda alebo iná operácia). Treba pozrieť uznesenie valného zhromaždenia. Toto je signál, že spoločník extrahuje cash, čo je legitímne, ale znižuje ukotvenosť firmy.</w:t>
      </w:r>
    </w:p>
    <w:p>
      <w:pPr>
        <w:pStyle w:val="ListParagraph"/>
        <w:numPr>
          <w:ilvl w:val="0"/>
          <w:numId w:val="3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Stáda a stroje sú zo zostatkovej ceny v poriadku, ale obnova bude potrebná v krátkodobom horizonte (3–5 rokov).</w:t>
      </w:r>
    </w:p>
    <w:p>
      <w:pPr>
        <w:pStyle w:val="Heading2"/>
        <w:spacing w:after="140" w:before="280"/>
      </w:pPr>
      <w:r>
        <w:rPr>
          <w:rFonts w:ascii="Calibri" w:cs="Calibri" w:eastAsia="Calibri" w:hAnsi="Calibri"/>
          <w:b/>
          <w:bCs/>
          <w:color w:val="2D5F3F"/>
          <w:sz w:val="26"/>
          <w:szCs w:val="26"/>
        </w:rPr>
        <w:t xml:space="preserve">Prečo nie menej (faktory tlačiace cenu nahor)</w:t>
      </w:r>
    </w:p>
    <w:p>
      <w:pPr>
        <w:pStyle w:val="ListParagraph"/>
        <w:numPr>
          <w:ilvl w:val="0"/>
          <w:numId w:val="3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16 funkčných hospodárskych budov pri replacement cost 1,5–2,5 mil. € znamená, že vytvorenie ekvivalentnej kapacity by trvalo 3–5 rokov a stálo násobok ponuky.</w:t>
      </w:r>
    </w:p>
    <w:p>
      <w:pPr>
        <w:pStyle w:val="ListParagraph"/>
        <w:numPr>
          <w:ilvl w:val="0"/>
          <w:numId w:val="3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744 ha hospodárenia v jednej KÚ Heľpa (744,2 ha z 744,8 ha celkom) je administratívne ľahko prevoditeľné — nie je rozkúskované na 30 obcí ako pri väčších PD.</w:t>
      </w:r>
    </w:p>
    <w:p>
      <w:pPr>
        <w:pStyle w:val="ListParagraph"/>
        <w:numPr>
          <w:ilvl w:val="0"/>
          <w:numId w:val="3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Mountain ANC dotácie sú jedny z najvyšších v SR (150–180 €/ha) — táto dotačná renta je viazaná na užívanie, čo je výhoda kontinuity.</w:t>
      </w:r>
    </w:p>
    <w:p>
      <w:pPr>
        <w:pStyle w:val="ListParagraph"/>
        <w:numPr>
          <w:ilvl w:val="0"/>
          <w:numId w:val="3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Rok 2025 ukazuje výrazný odraz: tržby +29 %, čistý zisk 192 tis. € (rekord), úvery klesli zo 470 na 159 tis. €. Firma je v najlepšej kondícii za 13 rokov.</w:t>
      </w:r>
    </w:p>
    <w:p>
      <w:pPr>
        <w:pStyle w:val="ListParagraph"/>
        <w:numPr>
          <w:ilvl w:val="0"/>
          <w:numId w:val="3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Index Bonity 4,61 (vynikajúca), Tafflerov model 0,56 (zdravá firma), Index 05 nad 1,77 (tvorba hodnoty). Kreditne minimálne riziko bezprostredného úpadku.</w:t>
      </w:r>
    </w:p>
    <w:p>
      <w:pPr>
        <w:pStyle w:val="ListParagraph"/>
        <w:numPr>
          <w:ilvl w:val="0"/>
          <w:numId w:val="3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Užívacie práva nie sú v účtovníctve, ale v transakcii sa platia. Toto je hodnota, ktorú by predávajúci pri menej skúsenom kupujúcom prepísal zadarmo.</w:t>
      </w:r>
    </w:p>
    <w:p>
      <w:r>
        <w:br w:type="page"/>
      </w:r>
    </w:p>
    <w:p>
      <w:pPr>
        <w:pStyle w:val="Heading1"/>
        <w:spacing w:after="200" w:before="360"/>
      </w:pPr>
      <w:r>
        <w:rPr>
          <w:rFonts w:ascii="Calibri" w:cs="Calibri" w:eastAsia="Calibri" w:hAnsi="Calibri"/>
          <w:b/>
          <w:bCs/>
          <w:color w:val="2D5F3F"/>
          <w:sz w:val="32"/>
          <w:szCs w:val="32"/>
        </w:rPr>
        <w:t xml:space="preserve">Aký kupujúci by čo zaplatil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Cena nie je univerzálna — záleží od typu kupujúceho a jeho synergií. Preto uvádzam tri profily: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91"/>
        <w:gridCol w:w="3373"/>
        <w:gridCol w:w="3374"/>
      </w:tblGrid>
      <w:tr>
        <w:tc>
          <w:tcPr>
            <w:tcW w:type="dxa" w:w="2891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Profil kupujúceho</w:t>
            </w:r>
          </w:p>
        </w:tc>
        <w:tc>
          <w:tcPr>
            <w:tcW w:type="dxa" w:w="337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Logika a synergie</w:t>
            </w:r>
          </w:p>
        </w:tc>
        <w:tc>
          <w:tcPr>
            <w:tcW w:type="dxa" w:w="3374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Cenový rozsah*</w:t>
            </w:r>
          </w:p>
        </w:tc>
      </w:tr>
      <w:tr>
        <w:tc>
          <w:tcPr>
            <w:tcW w:type="dxa" w:w="2891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Finančný kupujúci (PE, IRR-driven)</w:t>
            </w:r>
          </w:p>
        </w:tc>
        <w:tc>
          <w:tcPr>
            <w:tcW w:type="dxa" w:w="337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Pozerá iba na cash flow a ROI 12–18 %. Bez prevádzkových synergií. Diskontuje politické riziko.</w:t>
            </w:r>
          </w:p>
        </w:tc>
        <w:tc>
          <w:tcPr>
            <w:tcW w:type="dxa" w:w="3374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700 – 900 tis. €</w:t>
            </w:r>
          </w:p>
        </w:tc>
      </w:tr>
      <w:tr>
        <w:tc>
          <w:tcPr>
            <w:tcW w:type="dxa" w:w="2891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Strategický agro-kupujúci (napr. Sanagro alebo iný regionálny hráč)</w:t>
            </w:r>
          </w:p>
        </w:tc>
        <w:tc>
          <w:tcPr>
            <w:tcW w:type="dxa" w:w="337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Konsolidácia, zdieľanie strojového parku, kombinovaná účtovná podpora, nákupná sila vstupov, poistenie. Synergie 30–50 tis. €/rok = +200–300 tis. € NPV.</w:t>
            </w:r>
          </w:p>
        </w:tc>
        <w:tc>
          <w:tcPr>
            <w:tcW w:type="dxa" w:w="3374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8E8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1 050 – 1 350 tis. €</w:t>
            </w:r>
          </w:p>
        </w:tc>
      </w:tr>
      <w:tr>
        <w:tc>
          <w:tcPr>
            <w:tcW w:type="dxa" w:w="2891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Asset-stripper / likvidácia</w:t>
            </w:r>
          </w:p>
        </w:tc>
        <w:tc>
          <w:tcPr>
            <w:tcW w:type="dxa" w:w="337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Predaj stáda, strojov, kúsok po kúsku. Pôda nie je v majetku. Stavby na predaj len s diskontom (mountain).</w:t>
            </w:r>
          </w:p>
        </w:tc>
        <w:tc>
          <w:tcPr>
            <w:tcW w:type="dxa" w:w="3374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450 – 650 tis. €</w:t>
            </w:r>
          </w:p>
        </w:tc>
      </w:tr>
    </w:tbl>
    <w:p>
      <w:pPr>
        <w:spacing w:after="100"/>
      </w:pPr>
      <w:r>
        <w:rPr>
          <w:rFonts w:ascii="Calibri" w:cs="Calibri" w:eastAsia="Calibri" w:hAnsi="Calibri"/>
          <w:i/>
          <w:iCs/>
          <w:color w:val="6B6B6B"/>
          <w:sz w:val="18"/>
          <w:szCs w:val="18"/>
        </w:rPr>
        <w:t xml:space="preserve">* Vrátane vyplatenia pôžičky 322 tis. €.</w:t>
      </w:r>
    </w:p>
    <w:p>
      <w:pPr>
        <w:pStyle w:val="Heading3"/>
        <w:spacing w:after="100" w:before="200"/>
      </w:pPr>
      <w:r>
        <w:rPr>
          <w:rFonts w:ascii="Calibri" w:cs="Calibri" w:eastAsia="Calibri" w:hAnsi="Calibri"/>
          <w:b/>
          <w:bCs/>
          <w:color w:val="1A1A1A"/>
          <w:sz w:val="22"/>
          <w:szCs w:val="22"/>
        </w:rPr>
        <w:t xml:space="preserve">Pre Sanagro (alebo podobného strategického hráča)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Predpokladám, že väčšinu pridanej hodnoty z transakcie vie získať strategický kupujúci s prevádzkou v regióne. Ak je v hre Sanagro alebo iný stredne veľký SK agro-podnik, môžeš ísť na </w:t>
      </w:r>
      <w:r>
        <w:rPr>
          <w:rFonts w:ascii="Calibri" w:cs="Calibri" w:eastAsia="Calibri" w:hAnsi="Calibri"/>
          <w:b/>
          <w:bCs/>
          <w:sz w:val="22"/>
          <w:szCs w:val="22"/>
        </w:rPr>
        <w:t xml:space="preserve">1,1–1,3 mil. € spolu (vrátane pôžičky) </w:t>
      </w:r>
      <w:r>
        <w:rPr>
          <w:rFonts w:ascii="Calibri" w:cs="Calibri" w:eastAsia="Calibri" w:hAnsi="Calibri"/>
          <w:sz w:val="22"/>
          <w:szCs w:val="22"/>
        </w:rPr>
        <w:t xml:space="preserve">a stále mať pozitívnu IRR pri synergiách 30–50 tis. €/rok.</w:t>
      </w:r>
    </w:p>
    <w:p>
      <w:pPr>
        <w:pStyle w:val="Heading1"/>
        <w:spacing w:after="200" w:before="360"/>
      </w:pPr>
      <w:r>
        <w:rPr>
          <w:rFonts w:ascii="Calibri" w:cs="Calibri" w:eastAsia="Calibri" w:hAnsi="Calibri"/>
          <w:b/>
          <w:bCs/>
          <w:color w:val="2D5F3F"/>
          <w:sz w:val="32"/>
          <w:szCs w:val="32"/>
        </w:rPr>
        <w:t xml:space="preserve">Otázky pre due diligence pred podpisom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Cena, ktorú som uviedol, predpokladá, že tieto veci sedia. Pred podpisom by som overil sedem oblastí:</w:t>
      </w:r>
    </w:p>
    <w:p>
      <w:pPr>
        <w:spacing w:after="60" w:before="120"/>
      </w:pPr>
      <w:r>
        <w:rPr>
          <w:rFonts w:ascii="Calibri" w:cs="Calibri" w:eastAsia="Calibri" w:hAnsi="Calibri"/>
          <w:b/>
          <w:bCs/>
          <w:color w:val="C4914A"/>
          <w:sz w:val="22"/>
          <w:szCs w:val="22"/>
        </w:rPr>
        <w:t xml:space="preserve">1. </w:t>
      </w:r>
      <w:r>
        <w:rPr>
          <w:rFonts w:ascii="Calibri" w:cs="Calibri" w:eastAsia="Calibri" w:hAnsi="Calibri"/>
          <w:b/>
          <w:bCs/>
          <w:color w:val="2D5F3F"/>
          <w:sz w:val="22"/>
          <w:szCs w:val="22"/>
        </w:rPr>
        <w:t xml:space="preserve">Nájomné zmluvy na pôdu (745 ha)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Vyžiadať si výpis nájomných zmlúv: dĺžka, sadzby, štruktúra prenajímateľov (drobní vs. SPF/PPA), exit klauzuly. Toto je hlavná hodnota mimo súvahy. Ak je 80 %+ zmluvy s krátkym ostatkom, hodnota leasehold-u klesá zo 350 na 150 tis. €.</w:t>
      </w:r>
    </w:p>
    <w:p>
      <w:pPr>
        <w:spacing w:after="60" w:before="120"/>
      </w:pPr>
      <w:r>
        <w:rPr>
          <w:rFonts w:ascii="Calibri" w:cs="Calibri" w:eastAsia="Calibri" w:hAnsi="Calibri"/>
          <w:b/>
          <w:bCs/>
          <w:color w:val="C4914A"/>
          <w:sz w:val="22"/>
          <w:szCs w:val="22"/>
        </w:rPr>
        <w:t xml:space="preserve">2. </w:t>
      </w:r>
      <w:r>
        <w:rPr>
          <w:rFonts w:ascii="Calibri" w:cs="Calibri" w:eastAsia="Calibri" w:hAnsi="Calibri"/>
          <w:b/>
          <w:bCs/>
          <w:color w:val="2D5F3F"/>
          <w:sz w:val="22"/>
          <w:szCs w:val="22"/>
        </w:rPr>
        <w:t xml:space="preserve">Stav stavieb (16 budov)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Obhliadka, technická správa, súlad s BAT (Best Available Techniques), platnosť IPKZ povolení. Pozor na eternit (2× seník), nevyhovujúce krmovo-hnojné systémy.</w:t>
      </w:r>
    </w:p>
    <w:p>
      <w:pPr>
        <w:spacing w:after="60" w:before="120"/>
      </w:pPr>
      <w:r>
        <w:rPr>
          <w:rFonts w:ascii="Calibri" w:cs="Calibri" w:eastAsia="Calibri" w:hAnsi="Calibri"/>
          <w:b/>
          <w:bCs/>
          <w:color w:val="C4914A"/>
          <w:sz w:val="22"/>
          <w:szCs w:val="22"/>
        </w:rPr>
        <w:t xml:space="preserve">3. </w:t>
      </w:r>
      <w:r>
        <w:rPr>
          <w:rFonts w:ascii="Calibri" w:cs="Calibri" w:eastAsia="Calibri" w:hAnsi="Calibri"/>
          <w:b/>
          <w:bCs/>
          <w:color w:val="2D5F3F"/>
          <w:sz w:val="22"/>
          <w:szCs w:val="22"/>
        </w:rPr>
        <w:t xml:space="preserve">Stádo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Aktuálny súpis dojníc, telíc, výkrmu (priemerný vek, úžitkovosť, plemeno, zdravotný stav). Pre dojničiu farmu je hodnota stáda cca 1 200–1 800 € na dojnicu.</w:t>
      </w:r>
    </w:p>
    <w:p>
      <w:pPr>
        <w:spacing w:after="60" w:before="120"/>
      </w:pPr>
      <w:r>
        <w:rPr>
          <w:rFonts w:ascii="Calibri" w:cs="Calibri" w:eastAsia="Calibri" w:hAnsi="Calibri"/>
          <w:b/>
          <w:bCs/>
          <w:color w:val="C4914A"/>
          <w:sz w:val="22"/>
          <w:szCs w:val="22"/>
        </w:rPr>
        <w:t xml:space="preserve">4. </w:t>
      </w:r>
      <w:r>
        <w:rPr>
          <w:rFonts w:ascii="Calibri" w:cs="Calibri" w:eastAsia="Calibri" w:hAnsi="Calibri"/>
          <w:b/>
          <w:bCs/>
          <w:color w:val="2D5F3F"/>
          <w:sz w:val="22"/>
          <w:szCs w:val="22"/>
        </w:rPr>
        <w:t xml:space="preserve">Pôžička spoločníka 322 tis. €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Písomná zmluva, úročenie, splatnosť. Je to skutočne pôžička alebo dividenda preklasifikovaná na záväzok? Ak je úročená komerčne, môže byť aj daňový bonus.</w:t>
      </w:r>
    </w:p>
    <w:p>
      <w:pPr>
        <w:spacing w:after="60" w:before="120"/>
      </w:pPr>
      <w:r>
        <w:rPr>
          <w:rFonts w:ascii="Calibri" w:cs="Calibri" w:eastAsia="Calibri" w:hAnsi="Calibri"/>
          <w:b/>
          <w:bCs/>
          <w:color w:val="C4914A"/>
          <w:sz w:val="22"/>
          <w:szCs w:val="22"/>
        </w:rPr>
        <w:t xml:space="preserve">5. </w:t>
      </w:r>
      <w:r>
        <w:rPr>
          <w:rFonts w:ascii="Calibri" w:cs="Calibri" w:eastAsia="Calibri" w:hAnsi="Calibri"/>
          <w:b/>
          <w:bCs/>
          <w:color w:val="2D5F3F"/>
          <w:sz w:val="22"/>
          <w:szCs w:val="22"/>
        </w:rPr>
        <w:t xml:space="preserve">Pokles equity v 2024 (z 343 na 125 tis. €)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Pri zisku 105 tis. € to znamená výplatu cca 320 tis. €. Bola to dividenda alebo zníženie kapit. fondu? Vyžiadať uznesenie valného zhromaždenia.</w:t>
      </w:r>
    </w:p>
    <w:p>
      <w:pPr>
        <w:spacing w:after="60" w:before="120"/>
      </w:pPr>
      <w:r>
        <w:rPr>
          <w:rFonts w:ascii="Calibri" w:cs="Calibri" w:eastAsia="Calibri" w:hAnsi="Calibri"/>
          <w:b/>
          <w:bCs/>
          <w:color w:val="C4914A"/>
          <w:sz w:val="22"/>
          <w:szCs w:val="22"/>
        </w:rPr>
        <w:t xml:space="preserve">6. </w:t>
      </w:r>
      <w:r>
        <w:rPr>
          <w:rFonts w:ascii="Calibri" w:cs="Calibri" w:eastAsia="Calibri" w:hAnsi="Calibri"/>
          <w:b/>
          <w:bCs/>
          <w:color w:val="2D5F3F"/>
          <w:sz w:val="22"/>
          <w:szCs w:val="22"/>
        </w:rPr>
        <w:t xml:space="preserve">Dotačné nároky a kontrolné nálezy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Stav žiadostí PPA 2025 a 2026, prípadné kontrolné nálezy, sankcie z minulých rokov, claw-back riziká.</w:t>
      </w:r>
    </w:p>
    <w:p>
      <w:pPr>
        <w:spacing w:after="60" w:before="120"/>
      </w:pPr>
      <w:r>
        <w:rPr>
          <w:rFonts w:ascii="Calibri" w:cs="Calibri" w:eastAsia="Calibri" w:hAnsi="Calibri"/>
          <w:b/>
          <w:bCs/>
          <w:color w:val="C4914A"/>
          <w:sz w:val="22"/>
          <w:szCs w:val="22"/>
        </w:rPr>
        <w:t xml:space="preserve">7. </w:t>
      </w:r>
      <w:r>
        <w:rPr>
          <w:rFonts w:ascii="Calibri" w:cs="Calibri" w:eastAsia="Calibri" w:hAnsi="Calibri"/>
          <w:b/>
          <w:bCs/>
          <w:color w:val="2D5F3F"/>
          <w:sz w:val="22"/>
          <w:szCs w:val="22"/>
        </w:rPr>
        <w:t xml:space="preserve">Investičné dotácie (Časové rozlíšenie 56 tis. €)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Claw-back podmienky pri zmene vlastníka. V niektorých schémach PPA je zmena vlastníka spúšťačom 5–10 % vrátenia.</w:t>
      </w:r>
    </w:p>
    <w:p>
      <w:r>
        <w:br w:type="page"/>
      </w:r>
    </w:p>
    <w:p>
      <w:pPr>
        <w:pStyle w:val="Heading1"/>
        <w:spacing w:after="200" w:before="360"/>
      </w:pPr>
      <w:r>
        <w:rPr>
          <w:rFonts w:ascii="Calibri" w:cs="Calibri" w:eastAsia="Calibri" w:hAnsi="Calibri"/>
          <w:b/>
          <w:bCs/>
          <w:color w:val="2D5F3F"/>
          <w:sz w:val="32"/>
          <w:szCs w:val="32"/>
        </w:rPr>
        <w:t xml:space="preserve">Strategická úvaha — má vôbec zmysel kupovať?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Pred otázkou za koľko je dôležitá otázka má to zmysel kúpiť za akúkoľvek cenu. Tu sú moje argumenty:</w:t>
      </w:r>
    </w:p>
    <w:p>
      <w:pPr>
        <w:pStyle w:val="Heading3"/>
        <w:spacing w:after="100" w:before="200"/>
      </w:pPr>
      <w:r>
        <w:rPr>
          <w:rFonts w:ascii="Calibri" w:cs="Calibri" w:eastAsia="Calibri" w:hAnsi="Calibri"/>
          <w:b/>
          <w:bCs/>
          <w:color w:val="1A1A1A"/>
          <w:sz w:val="22"/>
          <w:szCs w:val="22"/>
        </w:rPr>
        <w:t xml:space="preserve">V prospech kúpy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Heľpa a okolie je rastovo zaujímavé pre dojničie a chov hovädzieho dobytka v rámci CAP 2023–2027 (sektor s relatívne dobrou dotačnou podporou).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Konsolidácia menších agropodnikov v horskom pásme je strategicky logická — synergie v strojovom parku, účtovníctve, nákupe vstupov, poistení.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16 hospodárskych budov v jednej obci je jedinečná kompletná infraštruktúra, ktorú by si nestaval. Replacement cost 1,5–2,5 mil. € je nereálny.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AGROHELP je v 2025 v dobrom kondícii — kupuješ funkčný podnik, nie reštrukturalizačný projekt.</w:t>
      </w:r>
    </w:p>
    <w:p>
      <w:pPr>
        <w:pStyle w:val="Heading3"/>
        <w:spacing w:after="100" w:before="200"/>
      </w:pPr>
      <w:r>
        <w:rPr>
          <w:rFonts w:ascii="Calibri" w:cs="Calibri" w:eastAsia="Calibri" w:hAnsi="Calibri"/>
          <w:b/>
          <w:bCs/>
          <w:color w:val="1A1A1A"/>
          <w:sz w:val="22"/>
          <w:szCs w:val="22"/>
        </w:rPr>
        <w:t xml:space="preserve">Proti kúpe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Mountain agro je sektor s vysokou dotačnou závislosťou. Po reforme CAP 2027 môže ANC platba klesnúť o 15–25 %.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Pokles equity 2024 a vysoké záväzky voči spoločníkovi naznačujú, že súčasný spoločník svoje peniaze vyťahuje. Možno je dôvodom dôchodok / odovzdanie generácie, ale možno aj presvedčenie, že lepšie roky sú za firmou.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Heľpa je vzdialená od centra Slovenska. Pre Sanagro alebo podobnú firmu z iného regiónu pridáva logistické a manažérske náklady.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Likvidita 3. st. 0,93 znamená, že okrem ceny si pripravíš ďalšie 100–150 tis. € na working capital a obnovu stáda.</w:t>
      </w:r>
    </w:p>
    <w:p>
      <w:pPr>
        <w:pStyle w:val="Heading3"/>
        <w:spacing w:after="100" w:before="200"/>
      </w:pPr>
      <w:r>
        <w:rPr>
          <w:rFonts w:ascii="Calibri" w:cs="Calibri" w:eastAsia="Calibri" w:hAnsi="Calibri"/>
          <w:b/>
          <w:bCs/>
          <w:color w:val="1A1A1A"/>
          <w:sz w:val="22"/>
          <w:szCs w:val="22"/>
        </w:rPr>
        <w:t xml:space="preserve">Môj záver — ide sa do toho?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Ak </w:t>
      </w:r>
      <w:r>
        <w:rPr>
          <w:rFonts w:ascii="Calibri" w:cs="Calibri" w:eastAsia="Calibri" w:hAnsi="Calibri"/>
          <w:b/>
          <w:bCs/>
          <w:sz w:val="22"/>
          <w:szCs w:val="22"/>
        </w:rPr>
        <w:t xml:space="preserve">máš v Horehroní/Brezne už prevádzkové zázemie a vieš ťažiť synergie</w:t>
      </w:r>
      <w:r>
        <w:rPr>
          <w:rFonts w:ascii="Calibri" w:cs="Calibri" w:eastAsia="Calibri" w:hAnsi="Calibri"/>
          <w:sz w:val="22"/>
          <w:szCs w:val="22"/>
        </w:rPr>
        <w:t xml:space="preserve"> (manažment, stroje, účtovníctvo, mlieko-dodávateľské vzťahy) — </w:t>
      </w:r>
      <w:r>
        <w:rPr>
          <w:rFonts w:ascii="Calibri" w:cs="Calibri" w:eastAsia="Calibri" w:hAnsi="Calibri"/>
          <w:b/>
          <w:bCs/>
          <w:sz w:val="22"/>
          <w:szCs w:val="22"/>
        </w:rPr>
        <w:t xml:space="preserve">áno, kúp za 1,1–1,2 mil. € spolu</w:t>
      </w:r>
      <w:r>
        <w:rPr>
          <w:rFonts w:ascii="Calibri" w:cs="Calibri" w:eastAsia="Calibri" w:hAnsi="Calibri"/>
          <w:sz w:val="22"/>
          <w:szCs w:val="22"/>
        </w:rPr>
        <w:t xml:space="preserve">. Návratnosť pri 200 tis. € udržateľnej EBITDA a synergiách 40 tis. €/rok = 5–6 rokov, IRR 11–13 %.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Ak </w:t>
      </w:r>
      <w:r>
        <w:rPr>
          <w:rFonts w:ascii="Calibri" w:cs="Calibri" w:eastAsia="Calibri" w:hAnsi="Calibri"/>
          <w:b/>
          <w:bCs/>
          <w:sz w:val="22"/>
          <w:szCs w:val="22"/>
        </w:rPr>
        <w:t xml:space="preserve">by si firmu kupoval ako čisto finančnú investíciu</w:t>
      </w:r>
      <w:r>
        <w:rPr>
          <w:rFonts w:ascii="Calibri" w:cs="Calibri" w:eastAsia="Calibri" w:hAnsi="Calibri"/>
          <w:sz w:val="22"/>
          <w:szCs w:val="22"/>
        </w:rPr>
        <w:t xml:space="preserve"> (napr. cez fond, bez prevádzkových synergií) — </w:t>
      </w:r>
      <w:r>
        <w:rPr>
          <w:rFonts w:ascii="Calibri" w:cs="Calibri" w:eastAsia="Calibri" w:hAnsi="Calibri"/>
          <w:b/>
          <w:bCs/>
          <w:sz w:val="22"/>
          <w:szCs w:val="22"/>
        </w:rPr>
        <w:t xml:space="preserve">nie</w:t>
      </w:r>
      <w:r>
        <w:rPr>
          <w:rFonts w:ascii="Calibri" w:cs="Calibri" w:eastAsia="Calibri" w:hAnsi="Calibri"/>
          <w:sz w:val="22"/>
          <w:szCs w:val="22"/>
        </w:rPr>
        <w:t xml:space="preserve">, pri politickom riziku CAP a malej veľkosti firmy je IRR 9 % nedostatočná.</w:t>
      </w:r>
    </w:p>
    <w:p>
      <w:r>
        <w:br w:type="page"/>
      </w:r>
    </w:p>
    <w:p>
      <w:pPr>
        <w:pStyle w:val="Heading1"/>
        <w:spacing w:after="200" w:before="360"/>
      </w:pPr>
      <w:r>
        <w:rPr>
          <w:rFonts w:ascii="Calibri" w:cs="Calibri" w:eastAsia="Calibri" w:hAnsi="Calibri"/>
          <w:b/>
          <w:bCs/>
          <w:color w:val="2D5F3F"/>
          <w:sz w:val="32"/>
          <w:szCs w:val="32"/>
        </w:rPr>
        <w:t xml:space="preserve">Návratnosť a financovanie — LBO scenár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Otázka kedy sa to vráti má dve odpovede podľa toho, či myslíme celkové investované peniaze (vrátane úverov) alebo len equity, ktorú dáva kupujúci z vlastného vrecka. V LBO logike (Leveraged Buy-out) sa ráta hlavne to druhé.</w:t>
      </w:r>
    </w:p>
    <w:p>
      <w:pPr>
        <w:pStyle w:val="Heading2"/>
        <w:spacing w:after="140" w:before="280"/>
      </w:pPr>
      <w:r>
        <w:rPr>
          <w:rFonts w:ascii="Calibri" w:cs="Calibri" w:eastAsia="Calibri" w:hAnsi="Calibri"/>
          <w:b/>
          <w:bCs/>
          <w:color w:val="2D5F3F"/>
          <w:sz w:val="26"/>
          <w:szCs w:val="26"/>
        </w:rPr>
        <w:t xml:space="preserve">Štruktúra financovania – môj odporúčaný LBO mix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Pri akvizičnej cene cca 1,12 mil. € (vrátane vyplatenia pôžičky spoločníkovi) plus rezerva na pracovný kapitál a closing costy cca 150 tis. € potrebuje kupujúci pokryť cca 1 270 tis. €. Toto je realistická skladba zdrojov: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91"/>
        <w:gridCol w:w="1734"/>
        <w:gridCol w:w="1927"/>
        <w:gridCol w:w="3086"/>
      </w:tblGrid>
      <w:tr>
        <w:tc>
          <w:tcPr>
            <w:tcW w:type="dxa" w:w="2891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Zdroj financovania</w:t>
            </w:r>
          </w:p>
        </w:tc>
        <w:tc>
          <w:tcPr>
            <w:tcW w:type="dxa" w:w="1734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Suma (tis. €)</w:t>
            </w:r>
          </w:p>
        </w:tc>
        <w:tc>
          <w:tcPr>
            <w:tcW w:type="dxa" w:w="1927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Podmienky</w:t>
            </w:r>
          </w:p>
        </w:tc>
        <w:tc>
          <w:tcPr>
            <w:tcW w:type="dxa" w:w="308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Ročná splátka P&amp;I (tis. €)</w:t>
            </w:r>
          </w:p>
        </w:tc>
      </w:tr>
      <w:tr>
        <w:tc>
          <w:tcPr>
            <w:tcW w:type="dxa" w:w="2891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1) Vlastný kapitál kupujúceho (equity)</w:t>
            </w:r>
          </w:p>
        </w:tc>
        <w:tc>
          <w:tcPr>
            <w:tcW w:type="dxa" w:w="1734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510</w:t>
            </w:r>
          </w:p>
        </w:tc>
        <w:tc>
          <w:tcPr>
            <w:tcW w:type="dxa" w:w="1927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18"/>
                <w:szCs w:val="18"/>
              </w:rPr>
              <w:t xml:space="preserve">40 % zdrojov</w:t>
            </w:r>
          </w:p>
        </w:tc>
        <w:tc>
          <w:tcPr>
            <w:tcW w:type="dxa" w:w="308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—</w:t>
            </w:r>
          </w:p>
        </w:tc>
      </w:tr>
      <w:tr>
        <w:tc>
          <w:tcPr>
            <w:tcW w:type="dxa" w:w="2891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2) Akvizičný úver (komerčná banka, založené nehnuteľnosti)</w:t>
            </w:r>
          </w:p>
        </w:tc>
        <w:tc>
          <w:tcPr>
            <w:tcW w:type="dxa" w:w="1734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570</w:t>
            </w:r>
          </w:p>
        </w:tc>
        <w:tc>
          <w:tcPr>
            <w:tcW w:type="dxa" w:w="1927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18"/>
                <w:szCs w:val="18"/>
              </w:rPr>
              <w:t xml:space="preserve">5,5 %, 10 rokov, amortizujúci</w:t>
            </w:r>
          </w:p>
        </w:tc>
        <w:tc>
          <w:tcPr>
            <w:tcW w:type="dxa" w:w="308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75</w:t>
            </w:r>
          </w:p>
        </w:tc>
      </w:tr>
      <w:tr>
        <w:tc>
          <w:tcPr>
            <w:tcW w:type="dxa" w:w="2891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3) Vendor note (odložená splátka pre predajcu)</w:t>
            </w:r>
          </w:p>
        </w:tc>
        <w:tc>
          <w:tcPr>
            <w:tcW w:type="dxa" w:w="1734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130</w:t>
            </w:r>
          </w:p>
        </w:tc>
        <w:tc>
          <w:tcPr>
            <w:tcW w:type="dxa" w:w="1927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18"/>
                <w:szCs w:val="18"/>
              </w:rPr>
              <w:t xml:space="preserve">4 %, 5 rokov bullet alebo ročné platby</w:t>
            </w:r>
          </w:p>
        </w:tc>
        <w:tc>
          <w:tcPr>
            <w:tcW w:type="dxa" w:w="308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5 + 130 bullet</w:t>
            </w:r>
          </w:p>
        </w:tc>
      </w:tr>
      <w:tr>
        <w:tc>
          <w:tcPr>
            <w:tcW w:type="dxa" w:w="2891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4) SZRB / agro-investičný úver (zvýhodnený)</w:t>
            </w:r>
          </w:p>
        </w:tc>
        <w:tc>
          <w:tcPr>
            <w:tcW w:type="dxa" w:w="1734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60</w:t>
            </w:r>
          </w:p>
        </w:tc>
        <w:tc>
          <w:tcPr>
            <w:tcW w:type="dxa" w:w="1927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18"/>
                <w:szCs w:val="18"/>
              </w:rPr>
              <w:t xml:space="preserve">2 %, 10 rokov, na obnovu stáda/strojov</w:t>
            </w:r>
          </w:p>
        </w:tc>
        <w:tc>
          <w:tcPr>
            <w:tcW w:type="dxa" w:w="308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7</w:t>
            </w:r>
          </w:p>
        </w:tc>
      </w:tr>
      <w:tr>
        <w:tc>
          <w:tcPr>
            <w:tcW w:type="dxa" w:w="2891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Spolu zdroje</w:t>
            </w:r>
          </w:p>
        </w:tc>
        <w:tc>
          <w:tcPr>
            <w:tcW w:type="dxa" w:w="1734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1 270</w:t>
            </w:r>
          </w:p>
        </w:tc>
        <w:tc>
          <w:tcPr>
            <w:tcW w:type="dxa" w:w="1927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Mix 40/45/10/5 %</w:t>
            </w:r>
          </w:p>
        </w:tc>
        <w:tc>
          <w:tcPr>
            <w:tcW w:type="dxa" w:w="308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87 ročne (bez bullet)</w:t>
            </w:r>
          </w:p>
        </w:tc>
      </w:tr>
    </w:tbl>
    <w:p>
      <w:pPr>
        <w:spacing w:after="160"/>
      </w:pPr>
      <w:r>
        <w:t xml:space="preserve"/>
      </w:r>
    </w:p>
    <w:p>
      <w:pPr>
        <w:pStyle w:val="Heading3"/>
        <w:spacing w:after="100" w:before="200"/>
      </w:pPr>
      <w:r>
        <w:rPr>
          <w:rFonts w:ascii="Calibri" w:cs="Calibri" w:eastAsia="Calibri" w:hAnsi="Calibri"/>
          <w:b/>
          <w:bCs/>
          <w:color w:val="1A1A1A"/>
          <w:sz w:val="22"/>
          <w:szCs w:val="22"/>
        </w:rPr>
        <w:t xml:space="preserve">Použitie zdrojov (Use of funds)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Vyplatenie spoločníka — pôžička: 322 tis. €.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Vyplatenie spoločníka — cena za podiel: 800 tis. €.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Existujúci bankový úver firmy (ostane v cieľovej spoločnosti, refinancuje sa): 159 tis. €.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Closing costs (DD, právnici, znalecký posudok, notár): cca 50 tis. €.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sz w:val="22"/>
          <w:szCs w:val="22"/>
        </w:rPr>
        <w:t xml:space="preserve">Pracovný kapitál + rezerva na obnovu stáda v 1. roku: cca 100 tis. €.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Spolu: 1 431 tis. €. Mínus existujúca hotovosť firmy 165 tis. € = </w:t>
      </w:r>
      <w:r>
        <w:rPr>
          <w:rFonts w:ascii="Calibri" w:cs="Calibri" w:eastAsia="Calibri" w:hAnsi="Calibri"/>
          <w:b/>
          <w:bCs/>
          <w:sz w:val="22"/>
          <w:szCs w:val="22"/>
        </w:rPr>
        <w:t xml:space="preserve">čistá potreba zdrojov 1 266 tis. €.</w:t>
      </w:r>
    </w:p>
    <w:p>
      <w:pPr>
        <w:pStyle w:val="Heading2"/>
        <w:spacing w:after="140" w:before="280"/>
      </w:pPr>
      <w:r>
        <w:rPr>
          <w:rFonts w:ascii="Calibri" w:cs="Calibri" w:eastAsia="Calibri" w:hAnsi="Calibri"/>
          <w:b/>
          <w:bCs/>
          <w:color w:val="2D5F3F"/>
          <w:sz w:val="26"/>
          <w:szCs w:val="26"/>
        </w:rPr>
        <w:t xml:space="preserve">Návratnosť — kedy sa to kupujúcemu vráti?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Pre návratnosť potrebujem odhad udržateľného free cash flow. Vychádzam z normalizovanej EBITDA 200 tis. €/rok, daň 21 %, CAPEX na obnovu 60 tis. €/rok, pracovný kapitál neutrálny: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300"/>
        <w:gridCol w:w="2168"/>
        <w:gridCol w:w="2170"/>
      </w:tblGrid>
      <w:tr>
        <w:tc>
          <w:tcPr>
            <w:tcW w:type="dxa" w:w="53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Položka</w:t>
            </w:r>
          </w:p>
        </w:tc>
        <w:tc>
          <w:tcPr>
            <w:tcW w:type="dxa" w:w="216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Ročne (tis. €)</w:t>
            </w:r>
          </w:p>
        </w:tc>
        <w:tc>
          <w:tcPr>
            <w:tcW w:type="dxa" w:w="217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Komentár</w:t>
            </w:r>
          </w:p>
        </w:tc>
      </w:tr>
      <w:tr>
        <w:tc>
          <w:tcPr>
            <w:tcW w:type="dxa" w:w="53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EBITDA (normalizovaná)</w:t>
            </w:r>
          </w:p>
        </w:tc>
        <w:tc>
          <w:tcPr>
            <w:tcW w:type="dxa" w:w="216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200</w:t>
            </w:r>
          </w:p>
        </w:tc>
        <w:tc>
          <w:tcPr>
            <w:tcW w:type="dxa" w:w="217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18"/>
                <w:szCs w:val="18"/>
              </w:rPr>
              <w:t xml:space="preserve">3-roč. priemer 2023-25</w:t>
            </w:r>
          </w:p>
        </w:tc>
      </w:tr>
      <w:tr>
        <w:tc>
          <w:tcPr>
            <w:tcW w:type="dxa" w:w="53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− Daň z príjmu (21 % z EBIT po odpisoch)</w:t>
            </w:r>
          </w:p>
        </w:tc>
        <w:tc>
          <w:tcPr>
            <w:tcW w:type="dxa" w:w="216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−25</w:t>
            </w:r>
          </w:p>
        </w:tc>
        <w:tc>
          <w:tcPr>
            <w:tcW w:type="dxa" w:w="217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18"/>
                <w:szCs w:val="18"/>
              </w:rPr>
              <w:t xml:space="preserve">EBIT cca 120, daň cca 25</w:t>
            </w:r>
          </w:p>
        </w:tc>
      </w:tr>
      <w:tr>
        <w:tc>
          <w:tcPr>
            <w:tcW w:type="dxa" w:w="53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− Úroky z bankového úveru a vendor note</w:t>
            </w:r>
          </w:p>
        </w:tc>
        <w:tc>
          <w:tcPr>
            <w:tcW w:type="dxa" w:w="216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−36</w:t>
            </w:r>
          </w:p>
        </w:tc>
        <w:tc>
          <w:tcPr>
            <w:tcW w:type="dxa" w:w="217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18"/>
                <w:szCs w:val="18"/>
              </w:rPr>
              <w:t xml:space="preserve">Rok 1, klesá v čase</w:t>
            </w:r>
          </w:p>
        </w:tc>
      </w:tr>
      <w:tr>
        <w:tc>
          <w:tcPr>
            <w:tcW w:type="dxa" w:w="53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− CAPEX (obnova stáda + strojov + budov)</w:t>
            </w:r>
          </w:p>
        </w:tc>
        <w:tc>
          <w:tcPr>
            <w:tcW w:type="dxa" w:w="216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−60</w:t>
            </w:r>
          </w:p>
        </w:tc>
        <w:tc>
          <w:tcPr>
            <w:tcW w:type="dxa" w:w="217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18"/>
                <w:szCs w:val="18"/>
              </w:rPr>
              <w:t xml:space="preserve">Pod úroveň odpisov, postačuje</w:t>
            </w:r>
          </w:p>
        </w:tc>
      </w:tr>
      <w:tr>
        <w:tc>
          <w:tcPr>
            <w:tcW w:type="dxa" w:w="53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8E8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Free cash flow pred splátkou istiny</w:t>
            </w:r>
          </w:p>
        </w:tc>
        <w:tc>
          <w:tcPr>
            <w:tcW w:type="dxa" w:w="216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8E8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cca 79</w:t>
            </w:r>
          </w:p>
        </w:tc>
        <w:tc>
          <w:tcPr>
            <w:tcW w:type="dxa" w:w="217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8E8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18"/>
                <w:szCs w:val="18"/>
              </w:rPr>
              <w:t xml:space="preserve">k dispozícii na dlh + dividendu</w:t>
            </w:r>
          </w:p>
        </w:tc>
      </w:tr>
      <w:tr>
        <w:tc>
          <w:tcPr>
            <w:tcW w:type="dxa" w:w="53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− Splátka istiny bankového úveru</w:t>
            </w:r>
          </w:p>
        </w:tc>
        <w:tc>
          <w:tcPr>
            <w:tcW w:type="dxa" w:w="216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20"/>
                <w:szCs w:val="20"/>
              </w:rPr>
              <w:t xml:space="preserve">−51</w:t>
            </w:r>
          </w:p>
        </w:tc>
        <w:tc>
          <w:tcPr>
            <w:tcW w:type="dxa" w:w="217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color w:val="1A1A1A"/>
                <w:sz w:val="18"/>
                <w:szCs w:val="18"/>
              </w:rPr>
              <w:t xml:space="preserve">(75 P&amp;I − 24 úrok)</w:t>
            </w:r>
          </w:p>
        </w:tc>
      </w:tr>
      <w:tr>
        <w:tc>
          <w:tcPr>
            <w:tcW w:type="dxa" w:w="53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Cash to equity (na dividendu / reinvestíciu)</w:t>
            </w:r>
          </w:p>
        </w:tc>
        <w:tc>
          <w:tcPr>
            <w:tcW w:type="dxa" w:w="216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cca 28</w:t>
            </w:r>
          </w:p>
        </w:tc>
        <w:tc>
          <w:tcPr>
            <w:tcW w:type="dxa" w:w="217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D5F3F" w:color="auto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Roky 1-4, potom rastie</w:t>
            </w:r>
          </w:p>
        </w:tc>
      </w:tr>
    </w:tbl>
    <w:p>
      <w:pPr>
        <w:spacing w:after="160"/>
      </w:pPr>
      <w:r>
        <w:t xml:space="preserve"/>
      </w:r>
    </w:p>
    <w:p>
      <w:pPr>
        <w:pStyle w:val="Heading3"/>
        <w:spacing w:after="100" w:before="200"/>
      </w:pPr>
      <w:r>
        <w:rPr>
          <w:rFonts w:ascii="Calibri" w:cs="Calibri" w:eastAsia="Calibri" w:hAnsi="Calibri"/>
          <w:b/>
          <w:bCs/>
          <w:color w:val="1A1A1A"/>
          <w:sz w:val="22"/>
          <w:szCs w:val="22"/>
        </w:rPr>
        <w:t xml:space="preserve">Tri spôsoby ako počítať payback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1. Simple cash-on-cash payback (na celé investované peniaze): </w:t>
      </w:r>
      <w:r>
        <w:rPr>
          <w:rFonts w:ascii="Calibri" w:cs="Calibri" w:eastAsia="Calibri" w:hAnsi="Calibri"/>
          <w:sz w:val="22"/>
          <w:szCs w:val="22"/>
        </w:rPr>
        <w:t xml:space="preserve">investícia 1 266 tis. € / priemerný FCF 110 tis. € (po 5 rokoch deleveraging) = </w:t>
      </w:r>
      <w:r>
        <w:rPr>
          <w:rFonts w:ascii="Calibri" w:cs="Calibri" w:eastAsia="Calibri" w:hAnsi="Calibri"/>
          <w:b/>
          <w:bCs/>
          <w:sz w:val="22"/>
          <w:szCs w:val="22"/>
        </w:rPr>
        <w:t xml:space="preserve">cca 11–12 rokov.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2. Equity payback (na vlastné vložené peniaze 510 tis. €): </w:t>
      </w:r>
      <w:r>
        <w:rPr>
          <w:rFonts w:ascii="Calibri" w:cs="Calibri" w:eastAsia="Calibri" w:hAnsi="Calibri"/>
          <w:sz w:val="22"/>
          <w:szCs w:val="22"/>
        </w:rPr>
        <w:t xml:space="preserve">Cash to equity rastie z 28 tis. € (rok 1) na 80–100 tis. € (rok 6, po splatení vendor note). Kumulatívne: </w:t>
      </w:r>
      <w:r>
        <w:rPr>
          <w:rFonts w:ascii="Calibri" w:cs="Calibri" w:eastAsia="Calibri" w:hAnsi="Calibri"/>
          <w:b/>
          <w:bCs/>
          <w:sz w:val="22"/>
          <w:szCs w:val="22"/>
        </w:rPr>
        <w:t xml:space="preserve">cca 9 rokov pre 100 % návrat equity.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3. IRR cez exit po 5–7 rokoch (realistický LBO horizon): </w:t>
      </w:r>
      <w:r>
        <w:rPr>
          <w:rFonts w:ascii="Calibri" w:cs="Calibri" w:eastAsia="Calibri" w:hAnsi="Calibri"/>
          <w:sz w:val="22"/>
          <w:szCs w:val="22"/>
        </w:rPr>
        <w:t xml:space="preserve">Pri exite v roku 6 za 4× EBITDA (= cca 800 tis. € EV) − bankový dlh cca 250 tis. € (zostatok) = equity proceeds cca 550 tis. € + kumulatívne dividendy 220 tis. € = celkom 770 tis. € na vstup 510 tis. €. </w:t>
      </w:r>
      <w:r>
        <w:rPr>
          <w:rFonts w:ascii="Calibri" w:cs="Calibri" w:eastAsia="Calibri" w:hAnsi="Calibri"/>
          <w:b/>
          <w:bCs/>
          <w:sz w:val="22"/>
          <w:szCs w:val="22"/>
        </w:rPr>
        <w:t xml:space="preserve">IRR cca 11–13 %.</w:t>
      </w:r>
    </w:p>
    <w:p>
      <w:pPr>
        <w:pStyle w:val="Heading3"/>
        <w:spacing w:after="100" w:before="200"/>
      </w:pPr>
      <w:r>
        <w:rPr>
          <w:rFonts w:ascii="Calibri" w:cs="Calibri" w:eastAsia="Calibri" w:hAnsi="Calibri"/>
          <w:b/>
          <w:bCs/>
          <w:color w:val="1A1A1A"/>
          <w:sz w:val="22"/>
          <w:szCs w:val="22"/>
        </w:rPr>
        <w:t xml:space="preserve">So synergiami (strategický kupujúci)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Ak je kupujúci strategický agro-podnik so synergiami 30–50 tis. €/rok (zdieľanie strojov, manažment, vstupy, poistenie), EBITDA stúpa na 230–250 tis. €/rok. Cash to equity rastie z 28 na cca 60 tis. €/rok. Payback equity klesá na 6–7 rokov, IRR rastie na 16–19 %.</w:t>
      </w:r>
    </w:p>
    <w:p>
      <w:pPr>
        <w:pStyle w:val="Heading2"/>
        <w:spacing w:after="140" w:before="280"/>
      </w:pPr>
      <w:r>
        <w:rPr>
          <w:rFonts w:ascii="Calibri" w:cs="Calibri" w:eastAsia="Calibri" w:hAnsi="Calibri"/>
          <w:b/>
          <w:bCs/>
          <w:color w:val="2D5F3F"/>
          <w:sz w:val="26"/>
          <w:szCs w:val="26"/>
        </w:rPr>
        <w:t xml:space="preserve">Úskalia LBO pri agropodniku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Sezónnosť cash flow </w:t>
      </w:r>
      <w:r>
        <w:rPr>
          <w:rFonts w:ascii="Calibri" w:cs="Calibri" w:eastAsia="Calibri" w:hAnsi="Calibri"/>
          <w:sz w:val="22"/>
          <w:szCs w:val="22"/>
        </w:rPr>
        <w:t xml:space="preserve">— príjmy z dotácií prichádzajú v dávkach (jeseň, jar). Banka chce stabilný debt service = potrebuješ kontokorent 50–100 tis. € na vyrovnanie.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Politické riziko (CAP po 2027) </w:t>
      </w:r>
      <w:r>
        <w:rPr>
          <w:rFonts w:ascii="Calibri" w:cs="Calibri" w:eastAsia="Calibri" w:hAnsi="Calibri"/>
          <w:sz w:val="22"/>
          <w:szCs w:val="22"/>
        </w:rPr>
        <w:t xml:space="preserve">— ak ANC platba klesne o 20 %, EBITDA padne o 30–40 tis. €/rok. Toto je covenant breach risk pri agresívnejšom dlhu.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Banky neradi založia mountain agro budovy </w:t>
      </w:r>
      <w:r>
        <w:rPr>
          <w:rFonts w:ascii="Calibri" w:cs="Calibri" w:eastAsia="Calibri" w:hAnsi="Calibri"/>
          <w:sz w:val="22"/>
          <w:szCs w:val="22"/>
        </w:rPr>
        <w:t xml:space="preserve">— oceňovanie je nižšie ako vo veľkých mestách. Reálne LTV 40–50 %, nie 70 %. Preto môže byť potrebné dať osobnú garanciu majiteľa kupujúcej firmy.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Vendor note je mäkký dlh </w:t>
      </w:r>
      <w:r>
        <w:rPr>
          <w:rFonts w:ascii="Calibri" w:cs="Calibri" w:eastAsia="Calibri" w:hAnsi="Calibri"/>
          <w:sz w:val="22"/>
          <w:szCs w:val="22"/>
        </w:rPr>
        <w:t xml:space="preserve">— ale je to dlh. Ak EBITDA klesne, predajca môže byť tvrdším veriteľom než banka.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Calibri" w:cs="Calibri" w:eastAsia="Calibri" w:hAnsi="Calibri"/>
          <w:b/>
          <w:bCs/>
          <w:sz w:val="22"/>
          <w:szCs w:val="22"/>
        </w:rPr>
        <w:t xml:space="preserve">Daňový štít z úrokov </w:t>
      </w:r>
      <w:r>
        <w:rPr>
          <w:rFonts w:ascii="Calibri" w:cs="Calibri" w:eastAsia="Calibri" w:hAnsi="Calibri"/>
          <w:sz w:val="22"/>
          <w:szCs w:val="22"/>
        </w:rPr>
        <w:t xml:space="preserve">— v SR obmedzený (§ 21a ZDP, 30 % EBITDA limit pre úroky pri prepojení). Pri 200k EBITDA je to 60k limit, čo dnes nepresahuješ. OK.</w:t>
      </w:r>
    </w:p>
    <w:p>
      <w:pPr>
        <w:pStyle w:val="Heading2"/>
        <w:spacing w:after="140" w:before="280"/>
      </w:pPr>
      <w:r>
        <w:rPr>
          <w:rFonts w:ascii="Calibri" w:cs="Calibri" w:eastAsia="Calibri" w:hAnsi="Calibri"/>
          <w:b/>
          <w:bCs/>
          <w:color w:val="2D5F3F"/>
          <w:sz w:val="26"/>
          <w:szCs w:val="26"/>
        </w:rPr>
        <w:t xml:space="preserve">Konzervatívna verzia LBO (ak nechceš tlačiť na páku)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Ak chceš mať pokojný spánok, posuň equity na 50 % a zníž bank loan: </w:t>
      </w:r>
      <w:r>
        <w:rPr>
          <w:rFonts w:ascii="Calibri" w:cs="Calibri" w:eastAsia="Calibri" w:hAnsi="Calibri"/>
          <w:b/>
          <w:bCs/>
          <w:sz w:val="22"/>
          <w:szCs w:val="22"/>
        </w:rPr>
        <w:t xml:space="preserve">640 tis. € equity + 450 tis. € bank + 130 tis. € vendor + 45 tis. € SZRB</w:t>
      </w:r>
      <w:r>
        <w:rPr>
          <w:rFonts w:ascii="Calibri" w:cs="Calibri" w:eastAsia="Calibri" w:hAnsi="Calibri"/>
          <w:sz w:val="22"/>
          <w:szCs w:val="22"/>
        </w:rPr>
        <w:t xml:space="preserve">. Ročná splátka istiny klesne z 51 na 40 tis. €, cash to equity stúpne na cca 40 tis. €/rok hneď v roku 1, payback cca 13 rokov, ale IRR len 9–10 %. </w:t>
      </w:r>
      <w:r>
        <w:rPr>
          <w:rFonts w:ascii="Calibri" w:cs="Calibri" w:eastAsia="Calibri" w:hAnsi="Calibri"/>
          <w:i/>
          <w:iCs/>
          <w:sz w:val="22"/>
          <w:szCs w:val="22"/>
        </w:rPr>
        <w:t xml:space="preserve">Trade-off: nižšie riziko, nižší výnos.</w:t>
      </w:r>
    </w:p>
    <w:p>
      <w:pPr>
        <w:pStyle w:val="Heading3"/>
        <w:spacing w:after="100" w:before="200"/>
      </w:pPr>
      <w:r>
        <w:rPr>
          <w:rFonts w:ascii="Calibri" w:cs="Calibri" w:eastAsia="Calibri" w:hAnsi="Calibri"/>
          <w:b/>
          <w:bCs/>
          <w:color w:val="1A1A1A"/>
          <w:sz w:val="22"/>
          <w:szCs w:val="22"/>
        </w:rPr>
        <w:t xml:space="preserve">Môj záver k LBO štruktúre</w:t>
      </w:r>
    </w:p>
    <w:p>
      <w:pPr>
        <w:spacing w:after="140" w:line="300"/>
        <w:jc w:val="both"/>
      </w:pPr>
      <w:r>
        <w:rPr>
          <w:rFonts w:ascii="Calibri" w:cs="Calibri" w:eastAsia="Calibri" w:hAnsi="Calibri"/>
          <w:sz w:val="22"/>
          <w:szCs w:val="22"/>
        </w:rPr>
        <w:t xml:space="preserve">Pre Sanagro alebo podobného strategického hráča s prevádzkovým zázemím: </w:t>
      </w:r>
      <w:r>
        <w:rPr>
          <w:rFonts w:ascii="Calibri" w:cs="Calibri" w:eastAsia="Calibri" w:hAnsi="Calibri"/>
          <w:b/>
          <w:bCs/>
          <w:sz w:val="22"/>
          <w:szCs w:val="22"/>
        </w:rPr>
        <w:t xml:space="preserve">agresívnejší 40/45/10/5 mix (510k equity, 570k bank, 130k vendor, 60k SZRB)</w:t>
      </w:r>
      <w:r>
        <w:rPr>
          <w:rFonts w:ascii="Calibri" w:cs="Calibri" w:eastAsia="Calibri" w:hAnsi="Calibri"/>
          <w:sz w:val="22"/>
          <w:szCs w:val="22"/>
        </w:rPr>
        <w:t xml:space="preserve"> s exitom 5–7 rokov je optimálny. </w:t>
      </w:r>
      <w:r>
        <w:rPr>
          <w:rFonts w:ascii="Calibri" w:cs="Calibri" w:eastAsia="Calibri" w:hAnsi="Calibri"/>
          <w:b/>
          <w:bCs/>
          <w:sz w:val="22"/>
          <w:szCs w:val="22"/>
        </w:rPr>
        <w:t xml:space="preserve">Equity payback 6–7 rokov, IRR 16–19 %</w:t>
      </w:r>
      <w:r>
        <w:rPr>
          <w:rFonts w:ascii="Calibri" w:cs="Calibri" w:eastAsia="Calibri" w:hAnsi="Calibri"/>
          <w:sz w:val="22"/>
          <w:szCs w:val="22"/>
        </w:rPr>
        <w:t xml:space="preserve">, a do roku 6 si firma plne odpracuje akvizičný dlh. Pri čisto finančnom kupujúcom by som odporučil len konzervatívny mix (50/35/10/5), inak debt service nesedí pri 200k EBITDA s politickým rizikom dotácií.</w:t>
      </w:r>
    </w:p>
    <w:p>
      <w:pPr>
        <w:spacing w:after="120" w:before="480"/>
      </w:pPr>
      <w:r>
        <w:rPr>
          <w:rFonts w:ascii="Calibri" w:cs="Calibri" w:eastAsia="Calibri" w:hAnsi="Calibri"/>
          <w:color w:val="6B6B6B"/>
          <w:sz w:val="24"/>
          <w:szCs w:val="24"/>
        </w:rPr>
        <w:t xml:space="preserve">—</w:t>
      </w:r>
    </w:p>
    <w:p>
      <w:pPr>
        <w:spacing w:after="60"/>
      </w:pPr>
      <w:r>
        <w:rPr>
          <w:rFonts w:ascii="Calibri" w:cs="Calibri" w:eastAsia="Calibri" w:hAnsi="Calibri"/>
          <w:i/>
          <w:iCs/>
          <w:color w:val="6B6B6B"/>
          <w:sz w:val="18"/>
          <w:szCs w:val="18"/>
        </w:rPr>
        <w:t xml:space="preserve">Pripravené z výkazov 2013–2025 (Finstat), žiadosti LPIS 2025 (PPA) a katastrálneho výpisu stavieb LV 1347 (k 26. 4. 2026).</w:t>
      </w:r>
    </w:p>
    <w:p>
      <w:pPr>
        <w:spacing w:after="60"/>
      </w:pPr>
      <w:r>
        <w:rPr>
          <w:rFonts w:ascii="Calibri" w:cs="Calibri" w:eastAsia="Calibri" w:hAnsi="Calibri"/>
          <w:i/>
          <w:iCs/>
          <w:color w:val="6B6B6B"/>
          <w:sz w:val="18"/>
          <w:szCs w:val="18"/>
        </w:rPr>
        <w:t xml:space="preserve">Toto NIE je znalecký posudok ani daňové/finančné poradenstvo. Je to praktický odhad fair value pre potreby rokovania a interného rozhodnutia. Pre záverečnú cenu odporúčam znalecký posudok (najmä na nehnuteľnosti) a daňového poradcu (na štruktúru transakcie).</w:t>
      </w:r>
    </w:p>
    <w:p>
      <w:pPr>
        <w:spacing w:after="60"/>
      </w:pPr>
      <w:r>
        <w:rPr>
          <w:rFonts w:ascii="Calibri" w:cs="Calibri" w:eastAsia="Calibri" w:hAnsi="Calibri"/>
          <w:color w:val="6B6B6B"/>
          <w:sz w:val="18"/>
          <w:szCs w:val="18"/>
        </w:rPr>
        <w:t xml:space="preserve">Dátum: 3. mája 2026</w:t>
      </w:r>
    </w:p>
    <w:sectPr>
      <w:headerReference w:type="default" r:id="rId7"/>
      <w:footerReference w:type="default" r:id="rId8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Calibri" w:cs="Calibri" w:eastAsia="Calibri" w:hAnsi="Calibri"/>
        <w:color w:val="6B6B6B"/>
        <w:sz w:val="18"/>
        <w:szCs w:val="18"/>
      </w:rPr>
      <w:t xml:space="preserve">Strana </w:t>
    </w:r>
    <w:r>
      <w:rPr>
        <w:rFonts w:ascii="Calibri" w:cs="Calibri" w:eastAsia="Calibri" w:hAnsi="Calibri"/>
        <w:color w:val="6B6B6B"/>
        <w:sz w:val="18"/>
        <w:szCs w:val="18"/>
      </w:rPr>
      <w:fldChar w:fldCharType="begin"/>
      <w:instrText xml:space="preserve">PAGE</w:instrText>
      <w:fldChar w:fldCharType="separate"/>
      <w:fldChar w:fldCharType="end"/>
    </w:r>
    <w:r>
      <w:rPr>
        <w:rFonts w:ascii="Calibri" w:cs="Calibri" w:eastAsia="Calibri" w:hAnsi="Calibri"/>
        <w:color w:val="6B6B6B"/>
        <w:sz w:val="18"/>
        <w:szCs w:val="18"/>
      </w:rPr>
      <w:t xml:space="preserve"> z </w:t>
    </w:r>
    <w:r>
      <w:rPr>
        <w:rFonts w:ascii="Calibri" w:cs="Calibri" w:eastAsia="Calibri" w:hAnsi="Calibri"/>
        <w:color w:val="6B6B6B"/>
        <w:sz w:val="18"/>
        <w:szCs w:val="18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Calibri" w:cs="Calibri" w:eastAsia="Calibri" w:hAnsi="Calibri"/>
        <w:i/>
        <w:iCs/>
        <w:color w:val="6B6B6B"/>
        <w:sz w:val="18"/>
        <w:szCs w:val="18"/>
      </w:rPr>
      <w:t xml:space="preserve">AGROHELP, s.r.o. — indikatívne ocenenie  •  3. máj 2026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360"/>
      <w:outlineLvl w:val="0"/>
    </w:pPr>
    <w:rPr>
      <w:rFonts w:ascii="Calibri" w:cs="Calibri" w:eastAsia="Calibri" w:hAnsi="Calibri"/>
      <w:b/>
      <w:bCs/>
      <w:color w:val="2D5F3F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40" w:before="280"/>
      <w:outlineLvl w:val="1"/>
    </w:pPr>
    <w:rPr>
      <w:rFonts w:ascii="Calibri" w:cs="Calibri" w:eastAsia="Calibri" w:hAnsi="Calibri"/>
      <w:b/>
      <w:bCs/>
      <w:color w:val="2D5F3F"/>
      <w:sz w:val="26"/>
      <w:szCs w:val="26"/>
    </w:rPr>
  </w:style>
  <w:style w:type="paragraph" w:styleId="Heading3">
    <w:name w:val="Heading 3"/>
    <w:basedOn w:val="Normal"/>
    <w:next w:val="Normal"/>
    <w:qFormat/>
    <w:pPr>
      <w:spacing w:after="100" w:before="200"/>
      <w:outlineLvl w:val="2"/>
    </w:pPr>
    <w:rPr>
      <w:rFonts w:ascii="Calibri" w:cs="Calibri" w:eastAsia="Calibri" w:hAnsi="Calibri"/>
      <w:b/>
      <w:bCs/>
      <w:color w:val="1A1A1A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Ocenenie AGROHELP — záver</dc:title>
  <dc:creator>Ján Baliak / Sanagro</dc:creator>
  <cp:lastModifiedBy>Un-named</cp:lastModifiedBy>
  <cp:revision>1</cp:revision>
  <dcterms:created xsi:type="dcterms:W3CDTF">2026-05-03T20:13:32.075Z</dcterms:created>
  <dcterms:modified xsi:type="dcterms:W3CDTF">2026-05-03T20:13:32.075Z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