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rPr>
          <w:b/>
          <w:color w:val="0F2F1A"/>
          <w:sz w:val="40"/>
        </w:rPr>
        <w:t>Klienti SAN Trading — Executive Summary</w:t>
      </w:r>
    </w:p>
    <w:p>
      <w:r>
        <w:rPr>
          <w:rFonts w:ascii="Arial" w:hAnsi="Arial"/>
          <w:i/>
          <w:color w:val="666666"/>
          <w:sz w:val="18"/>
        </w:rPr>
        <w:t>Analýza zákazníckej bázy 2022-2026 | Tržby per klient × rok | Akvizícia · Churn · NRR · Cross-sell · Top-N Pareto</w:t>
      </w:r>
    </w:p>
    <w:p>
      <w:r>
        <w:rPr>
          <w:rFonts w:ascii="Arial" w:hAnsi="Arial"/>
          <w:i/>
          <w:color w:val="999999"/>
          <w:sz w:val="16"/>
        </w:rPr>
        <w:t>Generované: 2026-05-02  |  Vyhotovil: Claude (Cowork)  |  Pre: jan.baliak@sanagro.sk</w:t>
      </w:r>
    </w:p>
    <w:p/>
    <w:tbl>
      <w:tblPr>
        <w:tblW w:type="auto" w:w="0"/>
        <w:jc w:val="left"/>
        <w:tblLook w:firstColumn="1" w:firstRow="1" w:lastColumn="0" w:lastRow="0" w:noHBand="0" w:noVBand="1" w:val="04A0"/>
      </w:tblPr>
      <w:tblGrid>
        <w:gridCol w:w="2493"/>
        <w:gridCol w:w="2493"/>
        <w:gridCol w:w="2493"/>
        <w:gridCol w:w="2493"/>
      </w:tblGrid>
      <w:tr>
        <w:tc>
          <w:tcPr>
            <w:tcW w:type="dxa" w:w="2493"/>
            <w:shd w:val="clear" w:color="auto" w:fill="F1F8F2"/>
            <w:tcBorders>
              <w:top w:val="single" w:sz="4" w:color="EEEEEE"/>
              <w:left w:val="single" w:sz="4" w:color="EEEEEE"/>
              <w:bottom w:val="single" w:sz="4" w:color="EEEEEE"/>
              <w:right w:val="single" w:sz="4" w:color="EEEEEE"/>
            </w:tcBorders>
          </w:tcPr>
          <w:p>
            <w:r/>
            <w:r>
              <w:rPr>
                <w:b/>
                <w:color w:val="666666"/>
                <w:sz w:val="16"/>
              </w:rPr>
              <w:t>TRŽBA 2022-2026</w:t>
            </w:r>
          </w:p>
        </w:tc>
        <w:tc>
          <w:tcPr>
            <w:tcW w:type="dxa" w:w="2493"/>
            <w:shd w:val="clear" w:color="auto" w:fill="F1F8F2"/>
            <w:tcBorders>
              <w:top w:val="single" w:sz="4" w:color="EEEEEE"/>
              <w:left w:val="single" w:sz="4" w:color="EEEEEE"/>
              <w:bottom w:val="single" w:sz="4" w:color="EEEEEE"/>
              <w:right w:val="single" w:sz="4" w:color="EEEEEE"/>
            </w:tcBorders>
          </w:tcPr>
          <w:p>
            <w:r/>
            <w:r>
              <w:rPr>
                <w:b/>
                <w:color w:val="666666"/>
                <w:sz w:val="16"/>
              </w:rPr>
              <w:t>KLIENTOV</w:t>
            </w:r>
          </w:p>
        </w:tc>
        <w:tc>
          <w:tcPr>
            <w:tcW w:type="dxa" w:w="2493"/>
            <w:shd w:val="clear" w:color="auto" w:fill="F1F8F2"/>
            <w:tcBorders>
              <w:top w:val="single" w:sz="4" w:color="EEEEEE"/>
              <w:left w:val="single" w:sz="4" w:color="EEEEEE"/>
              <w:bottom w:val="single" w:sz="4" w:color="EEEEEE"/>
              <w:right w:val="single" w:sz="4" w:color="EEEEEE"/>
            </w:tcBorders>
          </w:tcPr>
          <w:p>
            <w:r/>
            <w:r>
              <w:rPr>
                <w:b/>
                <w:color w:val="666666"/>
                <w:sz w:val="16"/>
              </w:rPr>
              <w:t>NRR 2024→2025</w:t>
            </w:r>
          </w:p>
        </w:tc>
        <w:tc>
          <w:tcPr>
            <w:tcW w:type="dxa" w:w="2493"/>
            <w:shd w:val="clear" w:color="auto" w:fill="F1F8F2"/>
            <w:tcBorders>
              <w:top w:val="single" w:sz="4" w:color="EEEEEE"/>
              <w:left w:val="single" w:sz="4" w:color="EEEEEE"/>
              <w:bottom w:val="single" w:sz="4" w:color="EEEEEE"/>
              <w:right w:val="single" w:sz="4" w:color="EEEEEE"/>
            </w:tcBorders>
          </w:tcPr>
          <w:p>
            <w:r/>
            <w:r>
              <w:rPr>
                <w:b/>
                <w:color w:val="666666"/>
                <w:sz w:val="16"/>
              </w:rPr>
              <w:t>PRIEM. CHURN RATE/R.</w:t>
            </w:r>
          </w:p>
        </w:tc>
      </w:tr>
      <w:tr>
        <w:tc>
          <w:tcPr>
            <w:tcW w:type="dxa" w:w="2493"/>
            <w:shd w:val="clear" w:color="auto" w:fill="F1F8F2"/>
            <w:tcBorders>
              <w:top w:val="single" w:sz="4" w:color="EEEEEE"/>
              <w:left w:val="single" w:sz="4" w:color="EEEEEE"/>
              <w:bottom w:val="single" w:sz="4" w:color="EEEEEE"/>
              <w:right w:val="single" w:sz="4" w:color="EEEEEE"/>
            </w:tcBorders>
          </w:tcPr>
          <w:p>
            <w:r/>
            <w:r>
              <w:rPr>
                <w:b/>
                <w:color w:val="1F7A3A"/>
                <w:sz w:val="32"/>
              </w:rPr>
              <w:t>10.54 M €</w:t>
            </w:r>
          </w:p>
        </w:tc>
        <w:tc>
          <w:tcPr>
            <w:tcW w:type="dxa" w:w="2493"/>
            <w:shd w:val="clear" w:color="auto" w:fill="F1F8F2"/>
            <w:tcBorders>
              <w:top w:val="single" w:sz="4" w:color="EEEEEE"/>
              <w:left w:val="single" w:sz="4" w:color="EEEEEE"/>
              <w:bottom w:val="single" w:sz="4" w:color="EEEEEE"/>
              <w:right w:val="single" w:sz="4" w:color="EEEEEE"/>
            </w:tcBorders>
          </w:tcPr>
          <w:p>
            <w:r/>
            <w:r>
              <w:rPr>
                <w:b/>
                <w:color w:val="1F7A3A"/>
                <w:sz w:val="32"/>
              </w:rPr>
              <w:t>240</w:t>
            </w:r>
          </w:p>
        </w:tc>
        <w:tc>
          <w:tcPr>
            <w:tcW w:type="dxa" w:w="2493"/>
            <w:shd w:val="clear" w:color="auto" w:fill="F1F8F2"/>
            <w:tcBorders>
              <w:top w:val="single" w:sz="4" w:color="EEEEEE"/>
              <w:left w:val="single" w:sz="4" w:color="EEEEEE"/>
              <w:bottom w:val="single" w:sz="4" w:color="EEEEEE"/>
              <w:right w:val="single" w:sz="4" w:color="EEEEEE"/>
            </w:tcBorders>
          </w:tcPr>
          <w:p>
            <w:r/>
            <w:r>
              <w:rPr>
                <w:b/>
                <w:color w:val="C49A2E"/>
                <w:sz w:val="32"/>
              </w:rPr>
              <w:t>88 %</w:t>
            </w:r>
          </w:p>
        </w:tc>
        <w:tc>
          <w:tcPr>
            <w:tcW w:type="dxa" w:w="2493"/>
            <w:shd w:val="clear" w:color="auto" w:fill="F1F8F2"/>
            <w:tcBorders>
              <w:top w:val="single" w:sz="4" w:color="EEEEEE"/>
              <w:left w:val="single" w:sz="4" w:color="EEEEEE"/>
              <w:bottom w:val="single" w:sz="4" w:color="EEEEEE"/>
              <w:right w:val="single" w:sz="4" w:color="EEEEEE"/>
            </w:tcBorders>
          </w:tcPr>
          <w:p>
            <w:r/>
            <w:r>
              <w:rPr>
                <w:b/>
                <w:color w:val="C0392B"/>
                <w:sz w:val="32"/>
              </w:rPr>
              <w:t>36 %</w:t>
            </w:r>
          </w:p>
        </w:tc>
      </w:tr>
    </w:tbl>
    <w:p/>
    <w:p>
      <w:r>
        <w:rPr>
          <w:rFonts w:ascii="Arial" w:hAnsi="Arial"/>
          <w:i/>
          <w:color w:val="9A7D0A"/>
          <w:sz w:val="18"/>
        </w:rPr>
        <w:t>Pozn.: 2026 dáta sú YTD (Jan-Apr). Hlavná sezóna agroslužieb (silážovanie/senážovanie/lisovanie) ešte neprebehla — churn metriky pre 2026 sú indikatívne. Excluded: VLASTNÉ PRÁCE a NÁHRADY.</w:t>
      </w:r>
    </w:p>
    <w:p>
      <w:r>
        <w:rPr>
          <w:b/>
          <w:color w:val="1F7A3A"/>
          <w:sz w:val="28"/>
        </w:rPr>
        <w:t>1. Kľúčové zistenia</w:t>
      </w:r>
    </w:p>
    <w:p>
      <w:r>
        <w:rPr>
          <w:b/>
          <w:color w:val="1F7A3A"/>
          <w:sz w:val="22"/>
        </w:rPr>
        <w:t>● Diverzifikácia rastie (pozitívne)</w:t>
      </w:r>
    </w:p>
    <w:p>
      <w:pPr>
        <w:spacing w:after="160"/>
        <w:ind w:left="283"/>
      </w:pPr>
      <w:r>
        <w:rPr>
          <w:sz w:val="20"/>
        </w:rPr>
        <w:t>Top 10 klientov tvorilo 65,8 % tržieb v 2022, no v 2025 už len 41,3 %. Klientská báza sa diverzifikuje a riziko závislosti od jedného/niekoľkých klientov klesá. Pre 80 % tržieb 2025 potreba 36 klientov (vs 18 v 2022).</w:t>
      </w:r>
    </w:p>
    <w:p>
      <w:r>
        <w:rPr>
          <w:b/>
          <w:color w:val="C49A2E"/>
          <w:sz w:val="22"/>
        </w:rPr>
        <w:t>● Stabilná akvizícia, ale aj stabilný churn</w:t>
      </w:r>
    </w:p>
    <w:p>
      <w:pPr>
        <w:spacing w:after="160"/>
        <w:ind w:left="283"/>
      </w:pPr>
      <w:r>
        <w:rPr>
          <w:sz w:val="20"/>
        </w:rPr>
        <w:t>Každoročne pribúda 44–61 nových klientov, ale aj 29–46 existujúcich odchádza. Retention rate je relatívne stabilný (62-64 %), ale GRR len ~50-58 % znamená že strácame ~37 % klientov ročne. Treba systematickejší retention program.</w:t>
      </w:r>
    </w:p>
    <w:p>
      <w:r>
        <w:rPr>
          <w:b/>
          <w:color w:val="1F7A3A"/>
          <w:sz w:val="22"/>
        </w:rPr>
        <w:t>● NRR 87,6 % (2024→2025) zdravý</w:t>
      </w:r>
    </w:p>
    <w:p>
      <w:pPr>
        <w:spacing w:after="160"/>
        <w:ind w:left="283"/>
      </w:pPr>
      <w:r>
        <w:rPr>
          <w:sz w:val="20"/>
        </w:rPr>
        <w:t>Existujúca báza generuje 87,6 % pôvodnej tržby. Spolu s 17 % uplift z novej akvizície to dáva +12 % tržieb YoY. Expansion (€719k) takmer kompenzuje contraction (€682k) — existujúci klienti zostávajú, ale priemerne kupujú v rovnakej výške.</w:t>
      </w:r>
    </w:p>
    <w:p>
      <w:r>
        <w:rPr>
          <w:b/>
          <w:color w:val="C0392B"/>
          <w:sz w:val="22"/>
        </w:rPr>
        <w:t>● Najslabší rok bol 2023→2024</w:t>
      </w:r>
    </w:p>
    <w:p>
      <w:pPr>
        <w:spacing w:after="160"/>
        <w:ind w:left="283"/>
      </w:pPr>
      <w:r>
        <w:rPr>
          <w:sz w:val="20"/>
        </w:rPr>
        <w:t>GRR len 50,2 %, churn-out 837 tis. €. 42 klientov odišlo. Akvizícia 2024 (52 nových) ale slabá tržba (359k €) — noví klienti začínali len malými zákazkami. Treba retrospektívne analyzovať dôvody odchodu (kvalita, cena, konkurencia).</w:t>
      </w:r>
    </w:p>
    <w:p>
      <w:r>
        <w:rPr>
          <w:b/>
          <w:color w:val="C49A2E"/>
          <w:sz w:val="22"/>
        </w:rPr>
        <w:t>● Cross-sell aktívny — 2024 vrcholí</w:t>
      </w:r>
    </w:p>
    <w:p>
      <w:pPr>
        <w:spacing w:after="160"/>
        <w:ind w:left="283"/>
      </w:pPr>
      <w:r>
        <w:rPr>
          <w:sz w:val="20"/>
        </w:rPr>
        <w:t>2024 najsilnejší rok cross-sellu: 40 existujúcich klientov pridalo nový druh prác (570 tis. € z nových služieb). Lídri: FOOD FARM (+6 nových služieb), Roľnícke družstvo Samuela Jurkoviča (+8), POĽNOPRODUKT Čierny Balog (+8). Najčastejšie expansion: 'Ostatné práce - KLIENT' → Príprava pôdy, Sejba, Senážovanie.</w:t>
      </w:r>
    </w:p>
    <w:p>
      <w:r>
        <w:rPr>
          <w:b/>
          <w:color w:val="C0392B"/>
          <w:sz w:val="22"/>
        </w:rPr>
        <w:t>● Top klienti histórie odchádzajú</w:t>
      </w:r>
    </w:p>
    <w:p>
      <w:pPr>
        <w:spacing w:after="160"/>
        <w:ind w:left="283"/>
      </w:pPr>
      <w:r>
        <w:rPr>
          <w:sz w:val="20"/>
        </w:rPr>
        <w:t>TATRA-AGROLEV (852 tis. € lifetime, #1 v 2022/2023) churnoval v 2024. MaJa, s.r.o. (380 tis. €) tiež. PD REMESLO, EXATECH klesajú. Tieto historické 'krvavé' platby treba nahrádzať kontinuálnym hunting &amp; growing nových klientov.</w:t>
      </w:r>
    </w:p>
    <w:p/>
    <w:p>
      <w:r>
        <w:rPr>
          <w:b/>
          <w:color w:val="1F7A3A"/>
          <w:sz w:val="28"/>
        </w:rPr>
        <w:t>2. Per-year breakdown</w:t>
      </w:r>
    </w:p>
    <w:p>
      <w:r>
        <w:rPr>
          <w:rFonts w:ascii="Arial" w:hAnsi="Arial"/>
          <w:sz w:val="20"/>
        </w:rPr>
        <w:t>Klasifikácia klientov v každom roku: NEW (akvizícia), RETAINED (active aj rok predtým), REACTIVATED (vrátil sa po pauze), CHURNED (odišiel po predošlom aktívnom roku).</w:t>
      </w:r>
    </w:p>
    <w:p/>
    <w:tbl>
      <w:tblPr>
        <w:tblW w:type="auto" w:w="0"/>
        <w:jc w:val="left"/>
        <w:tblLook w:firstColumn="1" w:firstRow="1" w:lastColumn="0" w:lastRow="0" w:noHBand="0" w:noVBand="1" w:val="04A0"/>
      </w:tblPr>
      <w:tblGrid>
        <w:gridCol w:w="1246"/>
        <w:gridCol w:w="1246"/>
        <w:gridCol w:w="1246"/>
        <w:gridCol w:w="1246"/>
        <w:gridCol w:w="1246"/>
        <w:gridCol w:w="1246"/>
        <w:gridCol w:w="1246"/>
        <w:gridCol w:w="1246"/>
      </w:tblGrid>
      <w:tr>
        <w:tc>
          <w:tcPr>
            <w:tcW w:type="dxa" w:w="1246"/>
            <w:shd w:val="clear" w:color="auto" w:fill="1F7A3A"/>
            <w:tcBorders>
              <w:top w:val="single" w:sz="4" w:color="FFFFFF"/>
              <w:left w:val="single" w:sz="4" w:color="FFFFFF"/>
              <w:bottom w:val="single" w:sz="4" w:color="FFFFFF"/>
              <w:right w:val="single" w:sz="4" w:color="FFFFFF"/>
            </w:tcBorders>
            <w:vAlign w:val="center"/>
          </w:tcPr>
          <w:p>
            <w:r/>
            <w:r>
              <w:rPr>
                <w:b/>
                <w:color w:val="FFFFFF"/>
                <w:sz w:val="18"/>
              </w:rPr>
              <w:t>Rok</w:t>
            </w:r>
          </w:p>
        </w:tc>
        <w:tc>
          <w:tcPr>
            <w:tcW w:type="dxa" w:w="1246"/>
            <w:shd w:val="clear" w:color="auto" w:fill="1F7A3A"/>
            <w:tcBorders>
              <w:top w:val="single" w:sz="4" w:color="FFFFFF"/>
              <w:left w:val="single" w:sz="4" w:color="FFFFFF"/>
              <w:bottom w:val="single" w:sz="4" w:color="FFFFFF"/>
              <w:right w:val="single" w:sz="4" w:color="FFFFFF"/>
            </w:tcBorders>
            <w:vAlign w:val="center"/>
          </w:tcPr>
          <w:p>
            <w:r/>
            <w:r>
              <w:rPr>
                <w:b/>
                <w:color w:val="FFFFFF"/>
                <w:sz w:val="18"/>
              </w:rPr>
              <w:t>Aktívni</w:t>
            </w:r>
          </w:p>
        </w:tc>
        <w:tc>
          <w:tcPr>
            <w:tcW w:type="dxa" w:w="1246"/>
            <w:shd w:val="clear" w:color="auto" w:fill="1F7A3A"/>
            <w:tcBorders>
              <w:top w:val="single" w:sz="4" w:color="FFFFFF"/>
              <w:left w:val="single" w:sz="4" w:color="FFFFFF"/>
              <w:bottom w:val="single" w:sz="4" w:color="FFFFFF"/>
              <w:right w:val="single" w:sz="4" w:color="FFFFFF"/>
            </w:tcBorders>
            <w:vAlign w:val="center"/>
          </w:tcPr>
          <w:p>
            <w:r/>
            <w:r>
              <w:rPr>
                <w:b/>
                <w:color w:val="FFFFFF"/>
                <w:sz w:val="18"/>
              </w:rPr>
              <w:t>NEW</w:t>
            </w:r>
          </w:p>
        </w:tc>
        <w:tc>
          <w:tcPr>
            <w:tcW w:type="dxa" w:w="1246"/>
            <w:shd w:val="clear" w:color="auto" w:fill="1F7A3A"/>
            <w:tcBorders>
              <w:top w:val="single" w:sz="4" w:color="FFFFFF"/>
              <w:left w:val="single" w:sz="4" w:color="FFFFFF"/>
              <w:bottom w:val="single" w:sz="4" w:color="FFFFFF"/>
              <w:right w:val="single" w:sz="4" w:color="FFFFFF"/>
            </w:tcBorders>
            <w:vAlign w:val="center"/>
          </w:tcPr>
          <w:p>
            <w:r/>
            <w:r>
              <w:rPr>
                <w:b/>
                <w:color w:val="FFFFFF"/>
                <w:sz w:val="18"/>
              </w:rPr>
              <w:t>RETAINED</w:t>
            </w:r>
          </w:p>
        </w:tc>
        <w:tc>
          <w:tcPr>
            <w:tcW w:type="dxa" w:w="1246"/>
            <w:shd w:val="clear" w:color="auto" w:fill="1F7A3A"/>
            <w:tcBorders>
              <w:top w:val="single" w:sz="4" w:color="FFFFFF"/>
              <w:left w:val="single" w:sz="4" w:color="FFFFFF"/>
              <w:bottom w:val="single" w:sz="4" w:color="FFFFFF"/>
              <w:right w:val="single" w:sz="4" w:color="FFFFFF"/>
            </w:tcBorders>
            <w:vAlign w:val="center"/>
          </w:tcPr>
          <w:p>
            <w:r/>
            <w:r>
              <w:rPr>
                <w:b/>
                <w:color w:val="FFFFFF"/>
                <w:sz w:val="18"/>
              </w:rPr>
              <w:t>CHURN</w:t>
            </w:r>
          </w:p>
        </w:tc>
        <w:tc>
          <w:tcPr>
            <w:tcW w:type="dxa" w:w="1246"/>
            <w:shd w:val="clear" w:color="auto" w:fill="1F7A3A"/>
            <w:tcBorders>
              <w:top w:val="single" w:sz="4" w:color="FFFFFF"/>
              <w:left w:val="single" w:sz="4" w:color="FFFFFF"/>
              <w:bottom w:val="single" w:sz="4" w:color="FFFFFF"/>
              <w:right w:val="single" w:sz="4" w:color="FFFFFF"/>
            </w:tcBorders>
            <w:vAlign w:val="center"/>
          </w:tcPr>
          <w:p>
            <w:r/>
            <w:r>
              <w:rPr>
                <w:b/>
                <w:color w:val="FFFFFF"/>
                <w:sz w:val="18"/>
              </w:rPr>
              <w:t>Retencia %</w:t>
            </w:r>
          </w:p>
        </w:tc>
        <w:tc>
          <w:tcPr>
            <w:tcW w:type="dxa" w:w="1246"/>
            <w:shd w:val="clear" w:color="auto" w:fill="1F7A3A"/>
            <w:tcBorders>
              <w:top w:val="single" w:sz="4" w:color="FFFFFF"/>
              <w:left w:val="single" w:sz="4" w:color="FFFFFF"/>
              <w:bottom w:val="single" w:sz="4" w:color="FFFFFF"/>
              <w:right w:val="single" w:sz="4" w:color="FFFFFF"/>
            </w:tcBorders>
            <w:vAlign w:val="center"/>
          </w:tcPr>
          <w:p>
            <w:r/>
            <w:r>
              <w:rPr>
                <w:b/>
                <w:color w:val="FFFFFF"/>
                <w:sz w:val="18"/>
              </w:rPr>
              <w:t>Churn %</w:t>
            </w:r>
          </w:p>
        </w:tc>
        <w:tc>
          <w:tcPr>
            <w:tcW w:type="dxa" w:w="1246"/>
            <w:shd w:val="clear" w:color="auto" w:fill="1F7A3A"/>
            <w:tcBorders>
              <w:top w:val="single" w:sz="4" w:color="FFFFFF"/>
              <w:left w:val="single" w:sz="4" w:color="FFFFFF"/>
              <w:bottom w:val="single" w:sz="4" w:color="FFFFFF"/>
              <w:right w:val="single" w:sz="4" w:color="FFFFFF"/>
            </w:tcBorders>
            <w:vAlign w:val="center"/>
          </w:tcPr>
          <w:p>
            <w:r/>
            <w:r>
              <w:rPr>
                <w:b/>
                <w:color w:val="FFFFFF"/>
                <w:sz w:val="18"/>
              </w:rPr>
              <w:t>Tržba (€)</w:t>
            </w:r>
          </w:p>
        </w:tc>
      </w:tr>
      <w:tr>
        <w:tc>
          <w:tcPr>
            <w:tcW w:type="dxa" w:w="1246"/>
            <w:shd w:val="clear" w:color="auto" w:fill="FFFFFF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2022</w:t>
            </w:r>
          </w:p>
        </w:tc>
        <w:tc>
          <w:tcPr>
            <w:tcW w:type="dxa" w:w="1246"/>
            <w:shd w:val="clear" w:color="auto" w:fill="FFFFFF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81</w:t>
            </w:r>
          </w:p>
        </w:tc>
        <w:tc>
          <w:tcPr>
            <w:tcW w:type="dxa" w:w="1246"/>
            <w:shd w:val="clear" w:color="auto" w:fill="FFFFFF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81</w:t>
            </w:r>
          </w:p>
        </w:tc>
        <w:tc>
          <w:tcPr>
            <w:tcW w:type="dxa" w:w="1246"/>
            <w:shd w:val="clear" w:color="auto" w:fill="FFFFFF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0</w:t>
            </w:r>
          </w:p>
        </w:tc>
        <w:tc>
          <w:tcPr>
            <w:tcW w:type="dxa" w:w="1246"/>
            <w:shd w:val="clear" w:color="auto" w:fill="FFFFFF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0</w:t>
            </w:r>
          </w:p>
        </w:tc>
        <w:tc>
          <w:tcPr>
            <w:tcW w:type="dxa" w:w="1246"/>
            <w:shd w:val="clear" w:color="auto" w:fill="FFFFFF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—</w:t>
            </w:r>
          </w:p>
        </w:tc>
        <w:tc>
          <w:tcPr>
            <w:tcW w:type="dxa" w:w="1246"/>
            <w:shd w:val="clear" w:color="auto" w:fill="FFFFFF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—</w:t>
            </w:r>
          </w:p>
        </w:tc>
        <w:tc>
          <w:tcPr>
            <w:tcW w:type="dxa" w:w="1246"/>
            <w:shd w:val="clear" w:color="auto" w:fill="FFFFFF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2 079 497 €</w:t>
            </w:r>
          </w:p>
        </w:tc>
      </w:tr>
      <w:tr>
        <w:tc>
          <w:tcPr>
            <w:tcW w:type="dxa" w:w="1246"/>
            <w:shd w:val="clear" w:color="auto" w:fill="F1F8F2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2023</w:t>
            </w:r>
          </w:p>
        </w:tc>
        <w:tc>
          <w:tcPr>
            <w:tcW w:type="dxa" w:w="1246"/>
            <w:shd w:val="clear" w:color="auto" w:fill="F1F8F2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113</w:t>
            </w:r>
          </w:p>
        </w:tc>
        <w:tc>
          <w:tcPr>
            <w:tcW w:type="dxa" w:w="1246"/>
            <w:shd w:val="clear" w:color="auto" w:fill="F1F8F2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61</w:t>
            </w:r>
          </w:p>
        </w:tc>
        <w:tc>
          <w:tcPr>
            <w:tcW w:type="dxa" w:w="1246"/>
            <w:shd w:val="clear" w:color="auto" w:fill="F1F8F2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52</w:t>
            </w:r>
          </w:p>
        </w:tc>
        <w:tc>
          <w:tcPr>
            <w:tcW w:type="dxa" w:w="1246"/>
            <w:shd w:val="clear" w:color="auto" w:fill="F1F8F2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29</w:t>
            </w:r>
          </w:p>
        </w:tc>
        <w:tc>
          <w:tcPr>
            <w:tcW w:type="dxa" w:w="1246"/>
            <w:shd w:val="clear" w:color="auto" w:fill="F1F8F2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64.2 %</w:t>
            </w:r>
          </w:p>
        </w:tc>
        <w:tc>
          <w:tcPr>
            <w:tcW w:type="dxa" w:w="1246"/>
            <w:shd w:val="clear" w:color="auto" w:fill="F1F8F2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35.8 %</w:t>
            </w:r>
          </w:p>
        </w:tc>
        <w:tc>
          <w:tcPr>
            <w:tcW w:type="dxa" w:w="1246"/>
            <w:shd w:val="clear" w:color="auto" w:fill="F1F8F2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2 855 745 €</w:t>
            </w:r>
          </w:p>
        </w:tc>
      </w:tr>
      <w:tr>
        <w:tc>
          <w:tcPr>
            <w:tcW w:type="dxa" w:w="1246"/>
            <w:shd w:val="clear" w:color="auto" w:fill="FFFFFF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2024</w:t>
            </w:r>
          </w:p>
        </w:tc>
        <w:tc>
          <w:tcPr>
            <w:tcW w:type="dxa" w:w="1246"/>
            <w:shd w:val="clear" w:color="auto" w:fill="FFFFFF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126</w:t>
            </w:r>
          </w:p>
        </w:tc>
        <w:tc>
          <w:tcPr>
            <w:tcW w:type="dxa" w:w="1246"/>
            <w:shd w:val="clear" w:color="auto" w:fill="FFFFFF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52</w:t>
            </w:r>
          </w:p>
        </w:tc>
        <w:tc>
          <w:tcPr>
            <w:tcW w:type="dxa" w:w="1246"/>
            <w:shd w:val="clear" w:color="auto" w:fill="FFFFFF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71</w:t>
            </w:r>
          </w:p>
        </w:tc>
        <w:tc>
          <w:tcPr>
            <w:tcW w:type="dxa" w:w="1246"/>
            <w:shd w:val="clear" w:color="auto" w:fill="FFFFFF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42</w:t>
            </w:r>
          </w:p>
        </w:tc>
        <w:tc>
          <w:tcPr>
            <w:tcW w:type="dxa" w:w="1246"/>
            <w:shd w:val="clear" w:color="auto" w:fill="FFFFFF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62.8 %</w:t>
            </w:r>
          </w:p>
        </w:tc>
        <w:tc>
          <w:tcPr>
            <w:tcW w:type="dxa" w:w="1246"/>
            <w:shd w:val="clear" w:color="auto" w:fill="FFFFFF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37.2 %</w:t>
            </w:r>
          </w:p>
        </w:tc>
        <w:tc>
          <w:tcPr>
            <w:tcW w:type="dxa" w:w="1246"/>
            <w:shd w:val="clear" w:color="auto" w:fill="FFFFFF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2 451 277 €</w:t>
            </w:r>
          </w:p>
        </w:tc>
      </w:tr>
      <w:tr>
        <w:tc>
          <w:tcPr>
            <w:tcW w:type="dxa" w:w="1246"/>
            <w:shd w:val="clear" w:color="auto" w:fill="F1F8F2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2025</w:t>
            </w:r>
          </w:p>
        </w:tc>
        <w:tc>
          <w:tcPr>
            <w:tcW w:type="dxa" w:w="1246"/>
            <w:shd w:val="clear" w:color="auto" w:fill="F1F8F2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131</w:t>
            </w:r>
          </w:p>
        </w:tc>
        <w:tc>
          <w:tcPr>
            <w:tcW w:type="dxa" w:w="1246"/>
            <w:shd w:val="clear" w:color="auto" w:fill="F1F8F2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44</w:t>
            </w:r>
          </w:p>
        </w:tc>
        <w:tc>
          <w:tcPr>
            <w:tcW w:type="dxa" w:w="1246"/>
            <w:shd w:val="clear" w:color="auto" w:fill="F1F8F2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80</w:t>
            </w:r>
          </w:p>
        </w:tc>
        <w:tc>
          <w:tcPr>
            <w:tcW w:type="dxa" w:w="1246"/>
            <w:shd w:val="clear" w:color="auto" w:fill="F1F8F2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46</w:t>
            </w:r>
          </w:p>
        </w:tc>
        <w:tc>
          <w:tcPr>
            <w:tcW w:type="dxa" w:w="1246"/>
            <w:shd w:val="clear" w:color="auto" w:fill="F1F8F2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63.5 %</w:t>
            </w:r>
          </w:p>
        </w:tc>
        <w:tc>
          <w:tcPr>
            <w:tcW w:type="dxa" w:w="1246"/>
            <w:shd w:val="clear" w:color="auto" w:fill="F1F8F2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36.5 %</w:t>
            </w:r>
          </w:p>
        </w:tc>
        <w:tc>
          <w:tcPr>
            <w:tcW w:type="dxa" w:w="1246"/>
            <w:shd w:val="clear" w:color="auto" w:fill="F1F8F2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2 738 269 €</w:t>
            </w:r>
          </w:p>
        </w:tc>
      </w:tr>
      <w:tr>
        <w:tc>
          <w:tcPr>
            <w:tcW w:type="dxa" w:w="1246"/>
            <w:shd w:val="clear" w:color="auto" w:fill="FFFFFF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2026</w:t>
            </w:r>
          </w:p>
        </w:tc>
        <w:tc>
          <w:tcPr>
            <w:tcW w:type="dxa" w:w="1246"/>
            <w:shd w:val="clear" w:color="auto" w:fill="FFFFFF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32</w:t>
            </w:r>
          </w:p>
        </w:tc>
        <w:tc>
          <w:tcPr>
            <w:tcW w:type="dxa" w:w="1246"/>
            <w:shd w:val="clear" w:color="auto" w:fill="FFFFFF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type="dxa" w:w="1246"/>
            <w:shd w:val="clear" w:color="auto" w:fill="FFFFFF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29</w:t>
            </w:r>
          </w:p>
        </w:tc>
        <w:tc>
          <w:tcPr>
            <w:tcW w:type="dxa" w:w="1246"/>
            <w:shd w:val="clear" w:color="auto" w:fill="FFFFFF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102</w:t>
            </w:r>
          </w:p>
        </w:tc>
        <w:tc>
          <w:tcPr>
            <w:tcW w:type="dxa" w:w="1246"/>
            <w:shd w:val="clear" w:color="auto" w:fill="FFFFFF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22.1 %</w:t>
            </w:r>
          </w:p>
        </w:tc>
        <w:tc>
          <w:tcPr>
            <w:tcW w:type="dxa" w:w="1246"/>
            <w:shd w:val="clear" w:color="auto" w:fill="FFFFFF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77.9 %</w:t>
            </w:r>
          </w:p>
        </w:tc>
        <w:tc>
          <w:tcPr>
            <w:tcW w:type="dxa" w:w="1246"/>
            <w:shd w:val="clear" w:color="auto" w:fill="FFFFFF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413 723 €</w:t>
            </w:r>
          </w:p>
        </w:tc>
      </w:tr>
    </w:tbl>
    <w:p/>
    <w:p>
      <w:r>
        <w:rPr>
          <w:b/>
          <w:color w:val="1F7A3A"/>
          <w:sz w:val="28"/>
        </w:rPr>
        <w:t>3. Net Revenue Retention</w:t>
      </w:r>
    </w:p>
    <w:p>
      <w:r>
        <w:rPr>
          <w:rFonts w:ascii="Arial" w:hAnsi="Arial"/>
          <w:sz w:val="20"/>
        </w:rPr>
        <w:t>NRR = Retained_revenue (current) / Starting_revenue (prev). Hodnota &gt;100 % znamená že existujúca báza rastie. GRR ignoruje expansion — meria ako veľa pôvodnej tržby udržíme bez započítania rastu.</w:t>
      </w:r>
    </w:p>
    <w:p/>
    <w:tbl>
      <w:tblPr>
        <w:tblW w:type="auto" w:w="0"/>
        <w:jc w:val="left"/>
        <w:tblLook w:firstColumn="1" w:firstRow="1" w:lastColumn="0" w:lastRow="0" w:noHBand="0" w:noVBand="1" w:val="04A0"/>
      </w:tblPr>
      <w:tblGrid>
        <w:gridCol w:w="1246"/>
        <w:gridCol w:w="1246"/>
        <w:gridCol w:w="1246"/>
        <w:gridCol w:w="1246"/>
        <w:gridCol w:w="1246"/>
        <w:gridCol w:w="1246"/>
        <w:gridCol w:w="1246"/>
        <w:gridCol w:w="1246"/>
      </w:tblGrid>
      <w:tr>
        <w:tc>
          <w:tcPr>
            <w:tcW w:type="dxa" w:w="1246"/>
            <w:shd w:val="clear" w:color="auto" w:fill="1F7A3A"/>
            <w:tcBorders>
              <w:top w:val="single" w:sz="4" w:color="FFFFFF"/>
              <w:left w:val="single" w:sz="4" w:color="FFFFFF"/>
              <w:bottom w:val="single" w:sz="4" w:color="FFFFFF"/>
              <w:right w:val="single" w:sz="4" w:color="FFFFFF"/>
            </w:tcBorders>
            <w:vAlign w:val="center"/>
          </w:tcPr>
          <w:p>
            <w:r/>
            <w:r>
              <w:rPr>
                <w:b/>
                <w:color w:val="FFFFFF"/>
                <w:sz w:val="18"/>
              </w:rPr>
              <w:t>Prechod</w:t>
            </w:r>
          </w:p>
        </w:tc>
        <w:tc>
          <w:tcPr>
            <w:tcW w:type="dxa" w:w="1246"/>
            <w:shd w:val="clear" w:color="auto" w:fill="1F7A3A"/>
            <w:tcBorders>
              <w:top w:val="single" w:sz="4" w:color="FFFFFF"/>
              <w:left w:val="single" w:sz="4" w:color="FFFFFF"/>
              <w:bottom w:val="single" w:sz="4" w:color="FFFFFF"/>
              <w:right w:val="single" w:sz="4" w:color="FFFFFF"/>
            </w:tcBorders>
            <w:vAlign w:val="center"/>
          </w:tcPr>
          <w:p>
            <w:r/>
            <w:r>
              <w:rPr>
                <w:b/>
                <w:color w:val="FFFFFF"/>
                <w:sz w:val="18"/>
              </w:rPr>
              <w:t>Starting</w:t>
            </w:r>
          </w:p>
        </w:tc>
        <w:tc>
          <w:tcPr>
            <w:tcW w:type="dxa" w:w="1246"/>
            <w:shd w:val="clear" w:color="auto" w:fill="1F7A3A"/>
            <w:tcBorders>
              <w:top w:val="single" w:sz="4" w:color="FFFFFF"/>
              <w:left w:val="single" w:sz="4" w:color="FFFFFF"/>
              <w:bottom w:val="single" w:sz="4" w:color="FFFFFF"/>
              <w:right w:val="single" w:sz="4" w:color="FFFFFF"/>
            </w:tcBorders>
            <w:vAlign w:val="center"/>
          </w:tcPr>
          <w:p>
            <w:r/>
            <w:r>
              <w:rPr>
                <w:b/>
                <w:color w:val="FFFFFF"/>
                <w:sz w:val="18"/>
              </w:rPr>
              <w:t>Expansion</w:t>
            </w:r>
          </w:p>
        </w:tc>
        <w:tc>
          <w:tcPr>
            <w:tcW w:type="dxa" w:w="1246"/>
            <w:shd w:val="clear" w:color="auto" w:fill="1F7A3A"/>
            <w:tcBorders>
              <w:top w:val="single" w:sz="4" w:color="FFFFFF"/>
              <w:left w:val="single" w:sz="4" w:color="FFFFFF"/>
              <w:bottom w:val="single" w:sz="4" w:color="FFFFFF"/>
              <w:right w:val="single" w:sz="4" w:color="FFFFFF"/>
            </w:tcBorders>
            <w:vAlign w:val="center"/>
          </w:tcPr>
          <w:p>
            <w:r/>
            <w:r>
              <w:rPr>
                <w:b/>
                <w:color w:val="FFFFFF"/>
                <w:sz w:val="18"/>
              </w:rPr>
              <w:t>Contraction</w:t>
            </w:r>
          </w:p>
        </w:tc>
        <w:tc>
          <w:tcPr>
            <w:tcW w:type="dxa" w:w="1246"/>
            <w:shd w:val="clear" w:color="auto" w:fill="1F7A3A"/>
            <w:tcBorders>
              <w:top w:val="single" w:sz="4" w:color="FFFFFF"/>
              <w:left w:val="single" w:sz="4" w:color="FFFFFF"/>
              <w:bottom w:val="single" w:sz="4" w:color="FFFFFF"/>
              <w:right w:val="single" w:sz="4" w:color="FFFFFF"/>
            </w:tcBorders>
            <w:vAlign w:val="center"/>
          </w:tcPr>
          <w:p>
            <w:r/>
            <w:r>
              <w:rPr>
                <w:b/>
                <w:color w:val="FFFFFF"/>
                <w:sz w:val="18"/>
              </w:rPr>
              <w:t>Churn</w:t>
            </w:r>
          </w:p>
        </w:tc>
        <w:tc>
          <w:tcPr>
            <w:tcW w:type="dxa" w:w="1246"/>
            <w:shd w:val="clear" w:color="auto" w:fill="1F7A3A"/>
            <w:tcBorders>
              <w:top w:val="single" w:sz="4" w:color="FFFFFF"/>
              <w:left w:val="single" w:sz="4" w:color="FFFFFF"/>
              <w:bottom w:val="single" w:sz="4" w:color="FFFFFF"/>
              <w:right w:val="single" w:sz="4" w:color="FFFFFF"/>
            </w:tcBorders>
            <w:vAlign w:val="center"/>
          </w:tcPr>
          <w:p>
            <w:r/>
            <w:r>
              <w:rPr>
                <w:b/>
                <w:color w:val="FFFFFF"/>
                <w:sz w:val="18"/>
              </w:rPr>
              <w:t>New</w:t>
            </w:r>
          </w:p>
        </w:tc>
        <w:tc>
          <w:tcPr>
            <w:tcW w:type="dxa" w:w="1246"/>
            <w:shd w:val="clear" w:color="auto" w:fill="1F7A3A"/>
            <w:tcBorders>
              <w:top w:val="single" w:sz="4" w:color="FFFFFF"/>
              <w:left w:val="single" w:sz="4" w:color="FFFFFF"/>
              <w:bottom w:val="single" w:sz="4" w:color="FFFFFF"/>
              <w:right w:val="single" w:sz="4" w:color="FFFFFF"/>
            </w:tcBorders>
            <w:vAlign w:val="center"/>
          </w:tcPr>
          <w:p>
            <w:r/>
            <w:r>
              <w:rPr>
                <w:b/>
                <w:color w:val="FFFFFF"/>
                <w:sz w:val="18"/>
              </w:rPr>
              <w:t>NRR</w:t>
            </w:r>
          </w:p>
        </w:tc>
        <w:tc>
          <w:tcPr>
            <w:tcW w:type="dxa" w:w="1246"/>
            <w:shd w:val="clear" w:color="auto" w:fill="1F7A3A"/>
            <w:tcBorders>
              <w:top w:val="single" w:sz="4" w:color="FFFFFF"/>
              <w:left w:val="single" w:sz="4" w:color="FFFFFF"/>
              <w:bottom w:val="single" w:sz="4" w:color="FFFFFF"/>
              <w:right w:val="single" w:sz="4" w:color="FFFFFF"/>
            </w:tcBorders>
            <w:vAlign w:val="center"/>
          </w:tcPr>
          <w:p>
            <w:r/>
            <w:r>
              <w:rPr>
                <w:b/>
                <w:color w:val="FFFFFF"/>
                <w:sz w:val="18"/>
              </w:rPr>
              <w:t>GRR</w:t>
            </w:r>
          </w:p>
        </w:tc>
      </w:tr>
      <w:tr>
        <w:tc>
          <w:tcPr>
            <w:tcW w:type="dxa" w:w="1246"/>
            <w:shd w:val="clear" w:color="auto" w:fill="FFFFFF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2022→2023</w:t>
            </w:r>
          </w:p>
        </w:tc>
        <w:tc>
          <w:tcPr>
            <w:tcW w:type="dxa" w:w="1246"/>
            <w:shd w:val="clear" w:color="auto" w:fill="FFFFFF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2 079 497 €</w:t>
            </w:r>
          </w:p>
        </w:tc>
        <w:tc>
          <w:tcPr>
            <w:tcW w:type="dxa" w:w="1246"/>
            <w:shd w:val="clear" w:color="auto" w:fill="FFFFFF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+742 656</w:t>
            </w:r>
          </w:p>
        </w:tc>
        <w:tc>
          <w:tcPr>
            <w:tcW w:type="dxa" w:w="1246"/>
            <w:shd w:val="clear" w:color="auto" w:fill="FFFFFF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-771 880</w:t>
            </w:r>
          </w:p>
        </w:tc>
        <w:tc>
          <w:tcPr>
            <w:tcW w:type="dxa" w:w="1246"/>
            <w:shd w:val="clear" w:color="auto" w:fill="FFFFFF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-112 271</w:t>
            </w:r>
          </w:p>
        </w:tc>
        <w:tc>
          <w:tcPr>
            <w:tcW w:type="dxa" w:w="1246"/>
            <w:shd w:val="clear" w:color="auto" w:fill="FFFFFF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+917 743</w:t>
            </w:r>
          </w:p>
        </w:tc>
        <w:tc>
          <w:tcPr>
            <w:tcW w:type="dxa" w:w="1246"/>
            <w:shd w:val="clear" w:color="auto" w:fill="FFFFFF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93.2 %</w:t>
            </w:r>
          </w:p>
        </w:tc>
        <w:tc>
          <w:tcPr>
            <w:tcW w:type="dxa" w:w="1246"/>
            <w:shd w:val="clear" w:color="auto" w:fill="FFFFFF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57.5 %</w:t>
            </w:r>
          </w:p>
        </w:tc>
      </w:tr>
      <w:tr>
        <w:tc>
          <w:tcPr>
            <w:tcW w:type="dxa" w:w="1246"/>
            <w:shd w:val="clear" w:color="auto" w:fill="F1F8F2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2023→2024</w:t>
            </w:r>
          </w:p>
        </w:tc>
        <w:tc>
          <w:tcPr>
            <w:tcW w:type="dxa" w:w="1246"/>
            <w:shd w:val="clear" w:color="auto" w:fill="F1F8F2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2 855 745 €</w:t>
            </w:r>
          </w:p>
        </w:tc>
        <w:tc>
          <w:tcPr>
            <w:tcW w:type="dxa" w:w="1246"/>
            <w:shd w:val="clear" w:color="auto" w:fill="F1F8F2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+566 707</w:t>
            </w:r>
          </w:p>
        </w:tc>
        <w:tc>
          <w:tcPr>
            <w:tcW w:type="dxa" w:w="1246"/>
            <w:shd w:val="clear" w:color="auto" w:fill="F1F8F2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-585 307</w:t>
            </w:r>
          </w:p>
        </w:tc>
        <w:tc>
          <w:tcPr>
            <w:tcW w:type="dxa" w:w="1246"/>
            <w:shd w:val="clear" w:color="auto" w:fill="F1F8F2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-837 016</w:t>
            </w:r>
          </w:p>
        </w:tc>
        <w:tc>
          <w:tcPr>
            <w:tcW w:type="dxa" w:w="1246"/>
            <w:shd w:val="clear" w:color="auto" w:fill="F1F8F2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+451 148</w:t>
            </w:r>
          </w:p>
        </w:tc>
        <w:tc>
          <w:tcPr>
            <w:tcW w:type="dxa" w:w="1246"/>
            <w:shd w:val="clear" w:color="auto" w:fill="F1F8F2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70.0 %</w:t>
            </w:r>
          </w:p>
        </w:tc>
        <w:tc>
          <w:tcPr>
            <w:tcW w:type="dxa" w:w="1246"/>
            <w:shd w:val="clear" w:color="auto" w:fill="F1F8F2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50.2 %</w:t>
            </w:r>
          </w:p>
        </w:tc>
      </w:tr>
      <w:tr>
        <w:tc>
          <w:tcPr>
            <w:tcW w:type="dxa" w:w="1246"/>
            <w:shd w:val="clear" w:color="auto" w:fill="FFFFFF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2024→2025</w:t>
            </w:r>
          </w:p>
        </w:tc>
        <w:tc>
          <w:tcPr>
            <w:tcW w:type="dxa" w:w="1246"/>
            <w:shd w:val="clear" w:color="auto" w:fill="FFFFFF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2 451 277 €</w:t>
            </w:r>
          </w:p>
        </w:tc>
        <w:tc>
          <w:tcPr>
            <w:tcW w:type="dxa" w:w="1246"/>
            <w:shd w:val="clear" w:color="auto" w:fill="FFFFFF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+718 633</w:t>
            </w:r>
          </w:p>
        </w:tc>
        <w:tc>
          <w:tcPr>
            <w:tcW w:type="dxa" w:w="1246"/>
            <w:shd w:val="clear" w:color="auto" w:fill="FFFFFF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-682 409</w:t>
            </w:r>
          </w:p>
        </w:tc>
        <w:tc>
          <w:tcPr>
            <w:tcW w:type="dxa" w:w="1246"/>
            <w:shd w:val="clear" w:color="auto" w:fill="FFFFFF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-341 362</w:t>
            </w:r>
          </w:p>
        </w:tc>
        <w:tc>
          <w:tcPr>
            <w:tcW w:type="dxa" w:w="1246"/>
            <w:shd w:val="clear" w:color="auto" w:fill="FFFFFF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+592 130</w:t>
            </w:r>
          </w:p>
        </w:tc>
        <w:tc>
          <w:tcPr>
            <w:tcW w:type="dxa" w:w="1246"/>
            <w:shd w:val="clear" w:color="auto" w:fill="FFFFFF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87.6 %</w:t>
            </w:r>
          </w:p>
        </w:tc>
        <w:tc>
          <w:tcPr>
            <w:tcW w:type="dxa" w:w="1246"/>
            <w:shd w:val="clear" w:color="auto" w:fill="FFFFFF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58.2 %</w:t>
            </w:r>
          </w:p>
        </w:tc>
      </w:tr>
      <w:tr>
        <w:tc>
          <w:tcPr>
            <w:tcW w:type="dxa" w:w="1246"/>
            <w:shd w:val="clear" w:color="auto" w:fill="F1F8F2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2025→2026</w:t>
            </w:r>
          </w:p>
        </w:tc>
        <w:tc>
          <w:tcPr>
            <w:tcW w:type="dxa" w:w="1246"/>
            <w:shd w:val="clear" w:color="auto" w:fill="F1F8F2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2 738 269 €</w:t>
            </w:r>
          </w:p>
        </w:tc>
        <w:tc>
          <w:tcPr>
            <w:tcW w:type="dxa" w:w="1246"/>
            <w:shd w:val="clear" w:color="auto" w:fill="F1F8F2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+1 468</w:t>
            </w:r>
          </w:p>
        </w:tc>
        <w:tc>
          <w:tcPr>
            <w:tcW w:type="dxa" w:w="1246"/>
            <w:shd w:val="clear" w:color="auto" w:fill="F1F8F2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-858 505</w:t>
            </w:r>
          </w:p>
        </w:tc>
        <w:tc>
          <w:tcPr>
            <w:tcW w:type="dxa" w:w="1246"/>
            <w:shd w:val="clear" w:color="auto" w:fill="F1F8F2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-1 486 358</w:t>
            </w:r>
          </w:p>
        </w:tc>
        <w:tc>
          <w:tcPr>
            <w:tcW w:type="dxa" w:w="1246"/>
            <w:shd w:val="clear" w:color="auto" w:fill="F1F8F2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+18 849</w:t>
            </w:r>
          </w:p>
        </w:tc>
        <w:tc>
          <w:tcPr>
            <w:tcW w:type="dxa" w:w="1246"/>
            <w:shd w:val="clear" w:color="auto" w:fill="F1F8F2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14.4 %</w:t>
            </w:r>
          </w:p>
        </w:tc>
        <w:tc>
          <w:tcPr>
            <w:tcW w:type="dxa" w:w="1246"/>
            <w:shd w:val="clear" w:color="auto" w:fill="F1F8F2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14.4 %</w:t>
            </w:r>
          </w:p>
        </w:tc>
      </w:tr>
    </w:tbl>
    <w:p/>
    <w:p>
      <w:r>
        <w:rPr>
          <w:b/>
          <w:color w:val="1F7A3A"/>
          <w:sz w:val="28"/>
        </w:rPr>
        <w:t>4. Kohortná analýza</w:t>
      </w:r>
    </w:p>
    <w:p>
      <w:r>
        <w:rPr>
          <w:rFonts w:ascii="Arial" w:hAnsi="Arial"/>
          <w:sz w:val="20"/>
        </w:rPr>
        <w:t>Klienti zaradení do kohorty podľa roka prvej akvizície. Sledujeme ako každá kohorta generuje tržby v ďalších rokoch.</w:t>
      </w:r>
    </w:p>
    <w:p/>
    <w:tbl>
      <w:tblPr>
        <w:tblW w:type="auto" w:w="0"/>
        <w:jc w:val="left"/>
        <w:tblLook w:firstColumn="1" w:firstRow="1" w:lastColumn="0" w:lastRow="0" w:noHBand="0" w:noVBand="1" w:val="04A0"/>
      </w:tblPr>
      <w:tblGrid>
        <w:gridCol w:w="1425"/>
        <w:gridCol w:w="1425"/>
        <w:gridCol w:w="1425"/>
        <w:gridCol w:w="1425"/>
        <w:gridCol w:w="1425"/>
        <w:gridCol w:w="1425"/>
        <w:gridCol w:w="1425"/>
      </w:tblGrid>
      <w:tr>
        <w:tc>
          <w:tcPr>
            <w:tcW w:type="dxa" w:w="1425"/>
            <w:shd w:val="clear" w:color="auto" w:fill="1F7A3A"/>
            <w:tcBorders>
              <w:top w:val="single" w:sz="4" w:color="FFFFFF"/>
              <w:left w:val="single" w:sz="4" w:color="FFFFFF"/>
              <w:bottom w:val="single" w:sz="4" w:color="FFFFFF"/>
              <w:right w:val="single" w:sz="4" w:color="FFFFFF"/>
            </w:tcBorders>
            <w:vAlign w:val="center"/>
          </w:tcPr>
          <w:p>
            <w:r/>
            <w:r>
              <w:rPr>
                <w:b/>
                <w:color w:val="FFFFFF"/>
                <w:sz w:val="18"/>
              </w:rPr>
              <w:t>Kohorta</w:t>
            </w:r>
          </w:p>
        </w:tc>
        <w:tc>
          <w:tcPr>
            <w:tcW w:type="dxa" w:w="1425"/>
            <w:shd w:val="clear" w:color="auto" w:fill="1F7A3A"/>
            <w:tcBorders>
              <w:top w:val="single" w:sz="4" w:color="FFFFFF"/>
              <w:left w:val="single" w:sz="4" w:color="FFFFFF"/>
              <w:bottom w:val="single" w:sz="4" w:color="FFFFFF"/>
              <w:right w:val="single" w:sz="4" w:color="FFFFFF"/>
            </w:tcBorders>
            <w:vAlign w:val="center"/>
          </w:tcPr>
          <w:p>
            <w:r/>
            <w:r>
              <w:rPr>
                <w:b/>
                <w:color w:val="FFFFFF"/>
                <w:sz w:val="18"/>
              </w:rPr>
              <w:t>#</w:t>
            </w:r>
          </w:p>
        </w:tc>
        <w:tc>
          <w:tcPr>
            <w:tcW w:type="dxa" w:w="1425"/>
            <w:shd w:val="clear" w:color="auto" w:fill="1F7A3A"/>
            <w:tcBorders>
              <w:top w:val="single" w:sz="4" w:color="FFFFFF"/>
              <w:left w:val="single" w:sz="4" w:color="FFFFFF"/>
              <w:bottom w:val="single" w:sz="4" w:color="FFFFFF"/>
              <w:right w:val="single" w:sz="4" w:color="FFFFFF"/>
            </w:tcBorders>
            <w:vAlign w:val="center"/>
          </w:tcPr>
          <w:p>
            <w:r/>
            <w:r>
              <w:rPr>
                <w:b/>
                <w:color w:val="FFFFFF"/>
                <w:sz w:val="18"/>
              </w:rPr>
              <w:t>2022</w:t>
            </w:r>
          </w:p>
        </w:tc>
        <w:tc>
          <w:tcPr>
            <w:tcW w:type="dxa" w:w="1425"/>
            <w:shd w:val="clear" w:color="auto" w:fill="1F7A3A"/>
            <w:tcBorders>
              <w:top w:val="single" w:sz="4" w:color="FFFFFF"/>
              <w:left w:val="single" w:sz="4" w:color="FFFFFF"/>
              <w:bottom w:val="single" w:sz="4" w:color="FFFFFF"/>
              <w:right w:val="single" w:sz="4" w:color="FFFFFF"/>
            </w:tcBorders>
            <w:vAlign w:val="center"/>
          </w:tcPr>
          <w:p>
            <w:r/>
            <w:r>
              <w:rPr>
                <w:b/>
                <w:color w:val="FFFFFF"/>
                <w:sz w:val="18"/>
              </w:rPr>
              <w:t>2023</w:t>
            </w:r>
          </w:p>
        </w:tc>
        <w:tc>
          <w:tcPr>
            <w:tcW w:type="dxa" w:w="1425"/>
            <w:shd w:val="clear" w:color="auto" w:fill="1F7A3A"/>
            <w:tcBorders>
              <w:top w:val="single" w:sz="4" w:color="FFFFFF"/>
              <w:left w:val="single" w:sz="4" w:color="FFFFFF"/>
              <w:bottom w:val="single" w:sz="4" w:color="FFFFFF"/>
              <w:right w:val="single" w:sz="4" w:color="FFFFFF"/>
            </w:tcBorders>
            <w:vAlign w:val="center"/>
          </w:tcPr>
          <w:p>
            <w:r/>
            <w:r>
              <w:rPr>
                <w:b/>
                <w:color w:val="FFFFFF"/>
                <w:sz w:val="18"/>
              </w:rPr>
              <w:t>2024</w:t>
            </w:r>
          </w:p>
        </w:tc>
        <w:tc>
          <w:tcPr>
            <w:tcW w:type="dxa" w:w="1425"/>
            <w:shd w:val="clear" w:color="auto" w:fill="1F7A3A"/>
            <w:tcBorders>
              <w:top w:val="single" w:sz="4" w:color="FFFFFF"/>
              <w:left w:val="single" w:sz="4" w:color="FFFFFF"/>
              <w:bottom w:val="single" w:sz="4" w:color="FFFFFF"/>
              <w:right w:val="single" w:sz="4" w:color="FFFFFF"/>
            </w:tcBorders>
            <w:vAlign w:val="center"/>
          </w:tcPr>
          <w:p>
            <w:r/>
            <w:r>
              <w:rPr>
                <w:b/>
                <w:color w:val="FFFFFF"/>
                <w:sz w:val="18"/>
              </w:rPr>
              <w:t>2025</w:t>
            </w:r>
          </w:p>
        </w:tc>
        <w:tc>
          <w:tcPr>
            <w:tcW w:type="dxa" w:w="1425"/>
            <w:shd w:val="clear" w:color="auto" w:fill="1F7A3A"/>
            <w:tcBorders>
              <w:top w:val="single" w:sz="4" w:color="FFFFFF"/>
              <w:left w:val="single" w:sz="4" w:color="FFFFFF"/>
              <w:bottom w:val="single" w:sz="4" w:color="FFFFFF"/>
              <w:right w:val="single" w:sz="4" w:color="FFFFFF"/>
            </w:tcBorders>
            <w:vAlign w:val="center"/>
          </w:tcPr>
          <w:p>
            <w:r/>
            <w:r>
              <w:rPr>
                <w:b/>
                <w:color w:val="FFFFFF"/>
                <w:sz w:val="18"/>
              </w:rPr>
              <w:t>2026</w:t>
            </w:r>
          </w:p>
        </w:tc>
      </w:tr>
      <w:tr>
        <w:tc>
          <w:tcPr>
            <w:tcW w:type="dxa" w:w="1425"/>
            <w:shd w:val="clear" w:color="auto" w:fill="FFFFFF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2022</w:t>
            </w:r>
          </w:p>
        </w:tc>
        <w:tc>
          <w:tcPr>
            <w:tcW w:type="dxa" w:w="1425"/>
            <w:shd w:val="clear" w:color="auto" w:fill="FFFFFF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81</w:t>
            </w:r>
          </w:p>
        </w:tc>
        <w:tc>
          <w:tcPr>
            <w:tcW w:type="dxa" w:w="1425"/>
            <w:shd w:val="clear" w:color="auto" w:fill="FFFFFF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2 079 497 €</w:t>
            </w:r>
          </w:p>
        </w:tc>
        <w:tc>
          <w:tcPr>
            <w:tcW w:type="dxa" w:w="1425"/>
            <w:shd w:val="clear" w:color="auto" w:fill="FFFFFF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1 938 002 € (93%)</w:t>
            </w:r>
          </w:p>
        </w:tc>
        <w:tc>
          <w:tcPr>
            <w:tcW w:type="dxa" w:w="1425"/>
            <w:shd w:val="clear" w:color="auto" w:fill="FFFFFF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1 483 280 € (71%)</w:t>
            </w:r>
          </w:p>
        </w:tc>
        <w:tc>
          <w:tcPr>
            <w:tcW w:type="dxa" w:w="1425"/>
            <w:shd w:val="clear" w:color="auto" w:fill="FFFFFF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1 176 555 € (57%)</w:t>
            </w:r>
          </w:p>
        </w:tc>
        <w:tc>
          <w:tcPr>
            <w:tcW w:type="dxa" w:w="1425"/>
            <w:shd w:val="clear" w:color="auto" w:fill="FFFFFF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240 755 € (12%)</w:t>
            </w:r>
          </w:p>
        </w:tc>
      </w:tr>
      <w:tr>
        <w:tc>
          <w:tcPr>
            <w:tcW w:type="dxa" w:w="1425"/>
            <w:shd w:val="clear" w:color="auto" w:fill="F1F8F2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2023</w:t>
            </w:r>
          </w:p>
        </w:tc>
        <w:tc>
          <w:tcPr>
            <w:tcW w:type="dxa" w:w="1425"/>
            <w:shd w:val="clear" w:color="auto" w:fill="F1F8F2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61</w:t>
            </w:r>
          </w:p>
        </w:tc>
        <w:tc>
          <w:tcPr>
            <w:tcW w:type="dxa" w:w="1425"/>
            <w:shd w:val="clear" w:color="auto" w:fill="F1F8F2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—</w:t>
            </w:r>
          </w:p>
        </w:tc>
        <w:tc>
          <w:tcPr>
            <w:tcW w:type="dxa" w:w="1425"/>
            <w:shd w:val="clear" w:color="auto" w:fill="F1F8F2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917 743 €</w:t>
            </w:r>
          </w:p>
        </w:tc>
        <w:tc>
          <w:tcPr>
            <w:tcW w:type="dxa" w:w="1425"/>
            <w:shd w:val="clear" w:color="auto" w:fill="F1F8F2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608 605 € (66%)</w:t>
            </w:r>
          </w:p>
        </w:tc>
        <w:tc>
          <w:tcPr>
            <w:tcW w:type="dxa" w:w="1425"/>
            <w:shd w:val="clear" w:color="auto" w:fill="F1F8F2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708 622 € (77%)</w:t>
            </w:r>
          </w:p>
        </w:tc>
        <w:tc>
          <w:tcPr>
            <w:tcW w:type="dxa" w:w="1425"/>
            <w:shd w:val="clear" w:color="auto" w:fill="F1F8F2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79 890 € (9%)</w:t>
            </w:r>
          </w:p>
        </w:tc>
      </w:tr>
      <w:tr>
        <w:tc>
          <w:tcPr>
            <w:tcW w:type="dxa" w:w="1425"/>
            <w:shd w:val="clear" w:color="auto" w:fill="FFFFFF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2024</w:t>
            </w:r>
          </w:p>
        </w:tc>
        <w:tc>
          <w:tcPr>
            <w:tcW w:type="dxa" w:w="1425"/>
            <w:shd w:val="clear" w:color="auto" w:fill="FFFFFF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52</w:t>
            </w:r>
          </w:p>
        </w:tc>
        <w:tc>
          <w:tcPr>
            <w:tcW w:type="dxa" w:w="1425"/>
            <w:shd w:val="clear" w:color="auto" w:fill="FFFFFF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—</w:t>
            </w:r>
          </w:p>
        </w:tc>
        <w:tc>
          <w:tcPr>
            <w:tcW w:type="dxa" w:w="1425"/>
            <w:shd w:val="clear" w:color="auto" w:fill="FFFFFF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—</w:t>
            </w:r>
          </w:p>
        </w:tc>
        <w:tc>
          <w:tcPr>
            <w:tcW w:type="dxa" w:w="1425"/>
            <w:shd w:val="clear" w:color="auto" w:fill="FFFFFF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359 392 €</w:t>
            </w:r>
          </w:p>
        </w:tc>
        <w:tc>
          <w:tcPr>
            <w:tcW w:type="dxa" w:w="1425"/>
            <w:shd w:val="clear" w:color="auto" w:fill="FFFFFF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362 624 € (101%)</w:t>
            </w:r>
          </w:p>
        </w:tc>
        <w:tc>
          <w:tcPr>
            <w:tcW w:type="dxa" w:w="1425"/>
            <w:shd w:val="clear" w:color="auto" w:fill="FFFFFF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52 578 € (15%)</w:t>
            </w:r>
          </w:p>
        </w:tc>
      </w:tr>
      <w:tr>
        <w:tc>
          <w:tcPr>
            <w:tcW w:type="dxa" w:w="1425"/>
            <w:shd w:val="clear" w:color="auto" w:fill="F1F8F2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2025</w:t>
            </w:r>
          </w:p>
        </w:tc>
        <w:tc>
          <w:tcPr>
            <w:tcW w:type="dxa" w:w="1425"/>
            <w:shd w:val="clear" w:color="auto" w:fill="F1F8F2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44</w:t>
            </w:r>
          </w:p>
        </w:tc>
        <w:tc>
          <w:tcPr>
            <w:tcW w:type="dxa" w:w="1425"/>
            <w:shd w:val="clear" w:color="auto" w:fill="F1F8F2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—</w:t>
            </w:r>
          </w:p>
        </w:tc>
        <w:tc>
          <w:tcPr>
            <w:tcW w:type="dxa" w:w="1425"/>
            <w:shd w:val="clear" w:color="auto" w:fill="F1F8F2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—</w:t>
            </w:r>
          </w:p>
        </w:tc>
        <w:tc>
          <w:tcPr>
            <w:tcW w:type="dxa" w:w="1425"/>
            <w:shd w:val="clear" w:color="auto" w:fill="F1F8F2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—</w:t>
            </w:r>
          </w:p>
        </w:tc>
        <w:tc>
          <w:tcPr>
            <w:tcW w:type="dxa" w:w="1425"/>
            <w:shd w:val="clear" w:color="auto" w:fill="F1F8F2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490 468 €</w:t>
            </w:r>
          </w:p>
        </w:tc>
        <w:tc>
          <w:tcPr>
            <w:tcW w:type="dxa" w:w="1425"/>
            <w:shd w:val="clear" w:color="auto" w:fill="F1F8F2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23 735 € (5%)</w:t>
            </w:r>
          </w:p>
        </w:tc>
      </w:tr>
      <w:tr>
        <w:tc>
          <w:tcPr>
            <w:tcW w:type="dxa" w:w="1425"/>
            <w:shd w:val="clear" w:color="auto" w:fill="FFFFFF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2026</w:t>
            </w:r>
          </w:p>
        </w:tc>
        <w:tc>
          <w:tcPr>
            <w:tcW w:type="dxa" w:w="1425"/>
            <w:shd w:val="clear" w:color="auto" w:fill="FFFFFF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type="dxa" w:w="1425"/>
            <w:shd w:val="clear" w:color="auto" w:fill="FFFFFF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—</w:t>
            </w:r>
          </w:p>
        </w:tc>
        <w:tc>
          <w:tcPr>
            <w:tcW w:type="dxa" w:w="1425"/>
            <w:shd w:val="clear" w:color="auto" w:fill="FFFFFF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—</w:t>
            </w:r>
          </w:p>
        </w:tc>
        <w:tc>
          <w:tcPr>
            <w:tcW w:type="dxa" w:w="1425"/>
            <w:shd w:val="clear" w:color="auto" w:fill="FFFFFF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—</w:t>
            </w:r>
          </w:p>
        </w:tc>
        <w:tc>
          <w:tcPr>
            <w:tcW w:type="dxa" w:w="1425"/>
            <w:shd w:val="clear" w:color="auto" w:fill="FFFFFF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—</w:t>
            </w:r>
          </w:p>
        </w:tc>
        <w:tc>
          <w:tcPr>
            <w:tcW w:type="dxa" w:w="1425"/>
            <w:shd w:val="clear" w:color="auto" w:fill="FFFFFF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16 764 €</w:t>
            </w:r>
          </w:p>
        </w:tc>
      </w:tr>
    </w:tbl>
    <w:p>
      <w:r>
        <w:rPr>
          <w:rFonts w:ascii="Arial" w:hAnsi="Arial"/>
          <w:b/>
          <w:sz w:val="20"/>
        </w:rPr>
        <w:t>Interpretácia kohort:</w:t>
      </w:r>
    </w:p>
    <w:p>
      <w:r>
        <w:rPr>
          <w:rFonts w:ascii="Arial" w:hAnsi="Arial"/>
          <w:sz w:val="20"/>
        </w:rPr>
        <w:t>• Kohorta 2022 (81 klientov): po 4 rokoch držíme 53 % klientov a 56,6 % pôvodnej tržby — silná lojálna baza.</w:t>
      </w:r>
    </w:p>
    <w:p>
      <w:r>
        <w:rPr>
          <w:rFonts w:ascii="Arial" w:hAnsi="Arial"/>
          <w:sz w:val="20"/>
        </w:rPr>
        <w:t>• Kohorta 2023 (61 klientov): v 2025 generuje 77,2 % pôvodnej tržby — najlepšia retencia.</w:t>
      </w:r>
    </w:p>
    <w:p>
      <w:r>
        <w:rPr>
          <w:rFonts w:ascii="Arial" w:hAnsi="Arial"/>
          <w:sz w:val="20"/>
        </w:rPr>
        <w:t>• Kohorta 2024 (52 klientov): v 2025 už 100,9 % pôvodnej tržby — silný expansion (existujúci pridávajú služby).</w:t>
      </w:r>
    </w:p>
    <w:p>
      <w:r>
        <w:rPr>
          <w:rFonts w:ascii="Arial" w:hAnsi="Arial"/>
          <w:sz w:val="20"/>
        </w:rPr>
        <w:t>• Kohorta 2025 (44 klientov): zatiaľ len base year, treba sledovať v 2026.</w:t>
      </w:r>
    </w:p>
    <w:p/>
    <w:p>
      <w:r>
        <w:rPr>
          <w:b/>
          <w:color w:val="1F7A3A"/>
          <w:sz w:val="28"/>
        </w:rPr>
        <w:t>5. Cross-sell — pridávanie nových služieb</w:t>
      </w:r>
    </w:p>
    <w:p>
      <w:r>
        <w:rPr>
          <w:rFonts w:ascii="Arial" w:hAnsi="Arial"/>
          <w:sz w:val="20"/>
        </w:rPr>
        <w:t>Sledujeme klientov ktorí v ďalších rokoch po prvom kontakte pridali NOVÝ druh práce (napr. začali s lisovaním, pridali silážovanie). Zdroj: ST_Práce_ALL_2025-07-18.xlsx (2022 - 2025-07).</w:t>
      </w:r>
    </w:p>
    <w:p/>
    <w:tbl>
      <w:tblPr>
        <w:tblW w:type="auto" w:w="0"/>
        <w:jc w:val="left"/>
        <w:tblLook w:firstColumn="1" w:firstRow="1" w:lastColumn="0" w:lastRow="0" w:noHBand="0" w:noVBand="1" w:val="04A0"/>
      </w:tblPr>
      <w:tblGrid>
        <w:gridCol w:w="1994"/>
        <w:gridCol w:w="1994"/>
        <w:gridCol w:w="1994"/>
        <w:gridCol w:w="1994"/>
        <w:gridCol w:w="1994"/>
      </w:tblGrid>
      <w:tr>
        <w:tc>
          <w:tcPr>
            <w:tcW w:type="dxa" w:w="1994"/>
            <w:shd w:val="clear" w:color="auto" w:fill="1F7A3A"/>
            <w:tcBorders>
              <w:top w:val="single" w:sz="4" w:color="FFFFFF"/>
              <w:left w:val="single" w:sz="4" w:color="FFFFFF"/>
              <w:bottom w:val="single" w:sz="4" w:color="FFFFFF"/>
              <w:right w:val="single" w:sz="4" w:color="FFFFFF"/>
            </w:tcBorders>
            <w:vAlign w:val="center"/>
          </w:tcPr>
          <w:p>
            <w:r/>
            <w:r>
              <w:rPr>
                <w:b/>
                <w:color w:val="FFFFFF"/>
                <w:sz w:val="18"/>
              </w:rPr>
              <w:t>Rok</w:t>
            </w:r>
          </w:p>
        </w:tc>
        <w:tc>
          <w:tcPr>
            <w:tcW w:type="dxa" w:w="1994"/>
            <w:shd w:val="clear" w:color="auto" w:fill="1F7A3A"/>
            <w:tcBorders>
              <w:top w:val="single" w:sz="4" w:color="FFFFFF"/>
              <w:left w:val="single" w:sz="4" w:color="FFFFFF"/>
              <w:bottom w:val="single" w:sz="4" w:color="FFFFFF"/>
              <w:right w:val="single" w:sz="4" w:color="FFFFFF"/>
            </w:tcBorders>
            <w:vAlign w:val="center"/>
          </w:tcPr>
          <w:p>
            <w:r/>
            <w:r>
              <w:rPr>
                <w:b/>
                <w:color w:val="FFFFFF"/>
                <w:sz w:val="18"/>
              </w:rPr>
              <w:t>Nový klienti</w:t>
            </w:r>
          </w:p>
        </w:tc>
        <w:tc>
          <w:tcPr>
            <w:tcW w:type="dxa" w:w="1994"/>
            <w:shd w:val="clear" w:color="auto" w:fill="1F7A3A"/>
            <w:tcBorders>
              <w:top w:val="single" w:sz="4" w:color="FFFFFF"/>
              <w:left w:val="single" w:sz="4" w:color="FFFFFF"/>
              <w:bottom w:val="single" w:sz="4" w:color="FFFFFF"/>
              <w:right w:val="single" w:sz="4" w:color="FFFFFF"/>
            </w:tcBorders>
            <w:vAlign w:val="center"/>
          </w:tcPr>
          <w:p>
            <w:r/>
            <w:r>
              <w:rPr>
                <w:b/>
                <w:color w:val="FFFFFF"/>
                <w:sz w:val="18"/>
              </w:rPr>
              <w:t>XS eventov</w:t>
            </w:r>
          </w:p>
        </w:tc>
        <w:tc>
          <w:tcPr>
            <w:tcW w:type="dxa" w:w="1994"/>
            <w:shd w:val="clear" w:color="auto" w:fill="1F7A3A"/>
            <w:tcBorders>
              <w:top w:val="single" w:sz="4" w:color="FFFFFF"/>
              <w:left w:val="single" w:sz="4" w:color="FFFFFF"/>
              <w:bottom w:val="single" w:sz="4" w:color="FFFFFF"/>
              <w:right w:val="single" w:sz="4" w:color="FFFFFF"/>
            </w:tcBorders>
            <w:vAlign w:val="center"/>
          </w:tcPr>
          <w:p>
            <w:r/>
            <w:r>
              <w:rPr>
                <w:b/>
                <w:color w:val="FFFFFF"/>
                <w:sz w:val="18"/>
              </w:rPr>
              <w:t>Klientov s XS</w:t>
            </w:r>
          </w:p>
        </w:tc>
        <w:tc>
          <w:tcPr>
            <w:tcW w:type="dxa" w:w="1994"/>
            <w:shd w:val="clear" w:color="auto" w:fill="1F7A3A"/>
            <w:tcBorders>
              <w:top w:val="single" w:sz="4" w:color="FFFFFF"/>
              <w:left w:val="single" w:sz="4" w:color="FFFFFF"/>
              <w:bottom w:val="single" w:sz="4" w:color="FFFFFF"/>
              <w:right w:val="single" w:sz="4" w:color="FFFFFF"/>
            </w:tcBorders>
            <w:vAlign w:val="center"/>
          </w:tcPr>
          <w:p>
            <w:r/>
            <w:r>
              <w:rPr>
                <w:b/>
                <w:color w:val="FFFFFF"/>
                <w:sz w:val="18"/>
              </w:rPr>
              <w:t>Tržba z nových služieb</w:t>
            </w:r>
          </w:p>
        </w:tc>
      </w:tr>
      <w:tr>
        <w:tc>
          <w:tcPr>
            <w:tcW w:type="dxa" w:w="1994"/>
            <w:shd w:val="clear" w:color="auto" w:fill="FFFFFF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2022</w:t>
            </w:r>
          </w:p>
        </w:tc>
        <w:tc>
          <w:tcPr>
            <w:tcW w:type="dxa" w:w="1994"/>
            <w:shd w:val="clear" w:color="auto" w:fill="FFFFFF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81</w:t>
            </w:r>
          </w:p>
        </w:tc>
        <w:tc>
          <w:tcPr>
            <w:tcW w:type="dxa" w:w="1994"/>
            <w:shd w:val="clear" w:color="auto" w:fill="FFFFFF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0</w:t>
            </w:r>
          </w:p>
        </w:tc>
        <w:tc>
          <w:tcPr>
            <w:tcW w:type="dxa" w:w="1994"/>
            <w:shd w:val="clear" w:color="auto" w:fill="FFFFFF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0</w:t>
            </w:r>
          </w:p>
        </w:tc>
        <w:tc>
          <w:tcPr>
            <w:tcW w:type="dxa" w:w="1994"/>
            <w:shd w:val="clear" w:color="auto" w:fill="FFFFFF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0 €</w:t>
            </w:r>
          </w:p>
        </w:tc>
      </w:tr>
      <w:tr>
        <w:tc>
          <w:tcPr>
            <w:tcW w:type="dxa" w:w="1994"/>
            <w:shd w:val="clear" w:color="auto" w:fill="F1F8F2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2023</w:t>
            </w:r>
          </w:p>
        </w:tc>
        <w:tc>
          <w:tcPr>
            <w:tcW w:type="dxa" w:w="1994"/>
            <w:shd w:val="clear" w:color="auto" w:fill="F1F8F2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61</w:t>
            </w:r>
          </w:p>
        </w:tc>
        <w:tc>
          <w:tcPr>
            <w:tcW w:type="dxa" w:w="1994"/>
            <w:shd w:val="clear" w:color="auto" w:fill="F1F8F2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72</w:t>
            </w:r>
          </w:p>
        </w:tc>
        <w:tc>
          <w:tcPr>
            <w:tcW w:type="dxa" w:w="1994"/>
            <w:shd w:val="clear" w:color="auto" w:fill="F1F8F2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36</w:t>
            </w:r>
          </w:p>
        </w:tc>
        <w:tc>
          <w:tcPr>
            <w:tcW w:type="dxa" w:w="1994"/>
            <w:shd w:val="clear" w:color="auto" w:fill="F1F8F2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369 400 €</w:t>
            </w:r>
          </w:p>
        </w:tc>
      </w:tr>
      <w:tr>
        <w:tc>
          <w:tcPr>
            <w:tcW w:type="dxa" w:w="1994"/>
            <w:shd w:val="clear" w:color="auto" w:fill="FFFFFF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2024</w:t>
            </w:r>
          </w:p>
        </w:tc>
        <w:tc>
          <w:tcPr>
            <w:tcW w:type="dxa" w:w="1994"/>
            <w:shd w:val="clear" w:color="auto" w:fill="FFFFFF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52</w:t>
            </w:r>
          </w:p>
        </w:tc>
        <w:tc>
          <w:tcPr>
            <w:tcW w:type="dxa" w:w="1994"/>
            <w:shd w:val="clear" w:color="auto" w:fill="FFFFFF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73</w:t>
            </w:r>
          </w:p>
        </w:tc>
        <w:tc>
          <w:tcPr>
            <w:tcW w:type="dxa" w:w="1994"/>
            <w:shd w:val="clear" w:color="auto" w:fill="FFFFFF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40</w:t>
            </w:r>
          </w:p>
        </w:tc>
        <w:tc>
          <w:tcPr>
            <w:tcW w:type="dxa" w:w="1994"/>
            <w:shd w:val="clear" w:color="auto" w:fill="FFFFFF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570 267 €</w:t>
            </w:r>
          </w:p>
        </w:tc>
      </w:tr>
      <w:tr>
        <w:tc>
          <w:tcPr>
            <w:tcW w:type="dxa" w:w="1994"/>
            <w:shd w:val="clear" w:color="auto" w:fill="F1F8F2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2025</w:t>
            </w:r>
          </w:p>
        </w:tc>
        <w:tc>
          <w:tcPr>
            <w:tcW w:type="dxa" w:w="1994"/>
            <w:shd w:val="clear" w:color="auto" w:fill="F1F8F2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29</w:t>
            </w:r>
          </w:p>
        </w:tc>
        <w:tc>
          <w:tcPr>
            <w:tcW w:type="dxa" w:w="1994"/>
            <w:shd w:val="clear" w:color="auto" w:fill="F1F8F2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37</w:t>
            </w:r>
          </w:p>
        </w:tc>
        <w:tc>
          <w:tcPr>
            <w:tcW w:type="dxa" w:w="1994"/>
            <w:shd w:val="clear" w:color="auto" w:fill="F1F8F2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23</w:t>
            </w:r>
          </w:p>
        </w:tc>
        <w:tc>
          <w:tcPr>
            <w:tcW w:type="dxa" w:w="1994"/>
            <w:shd w:val="clear" w:color="auto" w:fill="F1F8F2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257 636 €</w:t>
            </w:r>
          </w:p>
        </w:tc>
      </w:tr>
    </w:tbl>
    <w:p/>
    <w:p>
      <w:r>
        <w:rPr>
          <w:rFonts w:ascii="Arial" w:hAnsi="Arial"/>
          <w:b/>
          <w:sz w:val="20"/>
        </w:rPr>
        <w:t>Top 10 klienti podľa cross-sellu (počet pridaných nových druhov prác):</w:t>
      </w:r>
    </w:p>
    <w:tbl>
      <w:tblPr>
        <w:tblW w:type="auto" w:w="0"/>
        <w:jc w:val="left"/>
        <w:tblLook w:firstColumn="1" w:firstRow="1" w:lastColumn="0" w:lastRow="0" w:noHBand="0" w:noVBand="1" w:val="04A0"/>
      </w:tblPr>
      <w:tblGrid>
        <w:gridCol w:w="2493"/>
        <w:gridCol w:w="2493"/>
        <w:gridCol w:w="2493"/>
        <w:gridCol w:w="2493"/>
      </w:tblGrid>
      <w:tr>
        <w:tc>
          <w:tcPr>
            <w:tcW w:type="dxa" w:w="2493"/>
            <w:shd w:val="clear" w:color="auto" w:fill="1F7A3A"/>
            <w:tcBorders>
              <w:top w:val="single" w:sz="4" w:color="FFFFFF"/>
              <w:left w:val="single" w:sz="4" w:color="FFFFFF"/>
              <w:bottom w:val="single" w:sz="4" w:color="FFFFFF"/>
              <w:right w:val="single" w:sz="4" w:color="FFFFFF"/>
            </w:tcBorders>
            <w:vAlign w:val="center"/>
          </w:tcPr>
          <w:p>
            <w:r/>
            <w:r>
              <w:rPr>
                <w:b/>
                <w:color w:val="FFFFFF"/>
                <w:sz w:val="18"/>
              </w:rPr>
              <w:t>Klient</w:t>
            </w:r>
          </w:p>
        </w:tc>
        <w:tc>
          <w:tcPr>
            <w:tcW w:type="dxa" w:w="2493"/>
            <w:shd w:val="clear" w:color="auto" w:fill="1F7A3A"/>
            <w:tcBorders>
              <w:top w:val="single" w:sz="4" w:color="FFFFFF"/>
              <w:left w:val="single" w:sz="4" w:color="FFFFFF"/>
              <w:bottom w:val="single" w:sz="4" w:color="FFFFFF"/>
              <w:right w:val="single" w:sz="4" w:color="FFFFFF"/>
            </w:tcBorders>
            <w:vAlign w:val="center"/>
          </w:tcPr>
          <w:p>
            <w:r/>
            <w:r>
              <w:rPr>
                <w:b/>
                <w:color w:val="FFFFFF"/>
                <w:sz w:val="18"/>
              </w:rPr>
              <w:t>Vstup. rok</w:t>
            </w:r>
          </w:p>
        </w:tc>
        <w:tc>
          <w:tcPr>
            <w:tcW w:type="dxa" w:w="2493"/>
            <w:shd w:val="clear" w:color="auto" w:fill="1F7A3A"/>
            <w:tcBorders>
              <w:top w:val="single" w:sz="4" w:color="FFFFFF"/>
              <w:left w:val="single" w:sz="4" w:color="FFFFFF"/>
              <w:bottom w:val="single" w:sz="4" w:color="FFFFFF"/>
              <w:right w:val="single" w:sz="4" w:color="FFFFFF"/>
            </w:tcBorders>
            <w:vAlign w:val="center"/>
          </w:tcPr>
          <w:p>
            <w:r/>
            <w:r>
              <w:rPr>
                <w:b/>
                <w:color w:val="FFFFFF"/>
                <w:sz w:val="18"/>
              </w:rPr>
              <w:t>Pridané (#)</w:t>
            </w:r>
          </w:p>
        </w:tc>
        <w:tc>
          <w:tcPr>
            <w:tcW w:type="dxa" w:w="2493"/>
            <w:shd w:val="clear" w:color="auto" w:fill="1F7A3A"/>
            <w:tcBorders>
              <w:top w:val="single" w:sz="4" w:color="FFFFFF"/>
              <w:left w:val="single" w:sz="4" w:color="FFFFFF"/>
              <w:bottom w:val="single" w:sz="4" w:color="FFFFFF"/>
              <w:right w:val="single" w:sz="4" w:color="FFFFFF"/>
            </w:tcBorders>
            <w:vAlign w:val="center"/>
          </w:tcPr>
          <w:p>
            <w:r/>
            <w:r>
              <w:rPr>
                <w:b/>
                <w:color w:val="FFFFFF"/>
                <w:sz w:val="18"/>
              </w:rPr>
              <w:t>Tržba lifetime</w:t>
            </w:r>
          </w:p>
        </w:tc>
      </w:tr>
      <w:tr>
        <w:tc>
          <w:tcPr>
            <w:tcW w:type="dxa" w:w="2493"/>
            <w:shd w:val="clear" w:color="auto" w:fill="FFFFFF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Roľnícke družstvo Samuela Jurkoviča</w:t>
            </w:r>
          </w:p>
        </w:tc>
        <w:tc>
          <w:tcPr>
            <w:tcW w:type="dxa" w:w="2493"/>
            <w:shd w:val="clear" w:color="auto" w:fill="FFFFFF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2023</w:t>
            </w:r>
          </w:p>
        </w:tc>
        <w:tc>
          <w:tcPr>
            <w:tcW w:type="dxa" w:w="2493"/>
            <w:shd w:val="clear" w:color="auto" w:fill="FFFFFF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8</w:t>
            </w:r>
          </w:p>
        </w:tc>
        <w:tc>
          <w:tcPr>
            <w:tcW w:type="dxa" w:w="2493"/>
            <w:shd w:val="clear" w:color="auto" w:fill="FFFFFF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218 681 €</w:t>
            </w:r>
          </w:p>
        </w:tc>
      </w:tr>
      <w:tr>
        <w:tc>
          <w:tcPr>
            <w:tcW w:type="dxa" w:w="2493"/>
            <w:shd w:val="clear" w:color="auto" w:fill="F1F8F2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POĽNOPRODUKT Čierny Balog, družstvo</w:t>
            </w:r>
          </w:p>
        </w:tc>
        <w:tc>
          <w:tcPr>
            <w:tcW w:type="dxa" w:w="2493"/>
            <w:shd w:val="clear" w:color="auto" w:fill="F1F8F2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2022</w:t>
            </w:r>
          </w:p>
        </w:tc>
        <w:tc>
          <w:tcPr>
            <w:tcW w:type="dxa" w:w="2493"/>
            <w:shd w:val="clear" w:color="auto" w:fill="F1F8F2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8</w:t>
            </w:r>
          </w:p>
        </w:tc>
        <w:tc>
          <w:tcPr>
            <w:tcW w:type="dxa" w:w="2493"/>
            <w:shd w:val="clear" w:color="auto" w:fill="F1F8F2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214 195 €</w:t>
            </w:r>
          </w:p>
        </w:tc>
      </w:tr>
      <w:tr>
        <w:tc>
          <w:tcPr>
            <w:tcW w:type="dxa" w:w="2493"/>
            <w:shd w:val="clear" w:color="auto" w:fill="FFFFFF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RD Častkov s.r.o.</w:t>
            </w:r>
          </w:p>
        </w:tc>
        <w:tc>
          <w:tcPr>
            <w:tcW w:type="dxa" w:w="2493"/>
            <w:shd w:val="clear" w:color="auto" w:fill="FFFFFF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2023</w:t>
            </w:r>
          </w:p>
        </w:tc>
        <w:tc>
          <w:tcPr>
            <w:tcW w:type="dxa" w:w="2493"/>
            <w:shd w:val="clear" w:color="auto" w:fill="FFFFFF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7</w:t>
            </w:r>
          </w:p>
        </w:tc>
        <w:tc>
          <w:tcPr>
            <w:tcW w:type="dxa" w:w="2493"/>
            <w:shd w:val="clear" w:color="auto" w:fill="FFFFFF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56 952 €</w:t>
            </w:r>
          </w:p>
        </w:tc>
      </w:tr>
      <w:tr>
        <w:tc>
          <w:tcPr>
            <w:tcW w:type="dxa" w:w="2493"/>
            <w:shd w:val="clear" w:color="auto" w:fill="F1F8F2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FOOD FARM, s.r.o.</w:t>
            </w:r>
          </w:p>
        </w:tc>
        <w:tc>
          <w:tcPr>
            <w:tcW w:type="dxa" w:w="2493"/>
            <w:shd w:val="clear" w:color="auto" w:fill="F1F8F2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2022</w:t>
            </w:r>
          </w:p>
        </w:tc>
        <w:tc>
          <w:tcPr>
            <w:tcW w:type="dxa" w:w="2493"/>
            <w:shd w:val="clear" w:color="auto" w:fill="F1F8F2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6</w:t>
            </w:r>
          </w:p>
        </w:tc>
        <w:tc>
          <w:tcPr>
            <w:tcW w:type="dxa" w:w="2493"/>
            <w:shd w:val="clear" w:color="auto" w:fill="F1F8F2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508 258 €</w:t>
            </w:r>
          </w:p>
        </w:tc>
      </w:tr>
      <w:tr>
        <w:tc>
          <w:tcPr>
            <w:tcW w:type="dxa" w:w="2493"/>
            <w:shd w:val="clear" w:color="auto" w:fill="FFFFFF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RD SITNO PRENČOV a.s.</w:t>
            </w:r>
          </w:p>
        </w:tc>
        <w:tc>
          <w:tcPr>
            <w:tcW w:type="dxa" w:w="2493"/>
            <w:shd w:val="clear" w:color="auto" w:fill="FFFFFF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2022</w:t>
            </w:r>
          </w:p>
        </w:tc>
        <w:tc>
          <w:tcPr>
            <w:tcW w:type="dxa" w:w="2493"/>
            <w:shd w:val="clear" w:color="auto" w:fill="FFFFFF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6</w:t>
            </w:r>
          </w:p>
        </w:tc>
        <w:tc>
          <w:tcPr>
            <w:tcW w:type="dxa" w:w="2493"/>
            <w:shd w:val="clear" w:color="auto" w:fill="FFFFFF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373 844 €</w:t>
            </w:r>
          </w:p>
        </w:tc>
      </w:tr>
      <w:tr>
        <w:tc>
          <w:tcPr>
            <w:tcW w:type="dxa" w:w="2493"/>
            <w:shd w:val="clear" w:color="auto" w:fill="F1F8F2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BOS-POR AGRO s.r.o.</w:t>
            </w:r>
          </w:p>
        </w:tc>
        <w:tc>
          <w:tcPr>
            <w:tcW w:type="dxa" w:w="2493"/>
            <w:shd w:val="clear" w:color="auto" w:fill="F1F8F2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2022</w:t>
            </w:r>
          </w:p>
        </w:tc>
        <w:tc>
          <w:tcPr>
            <w:tcW w:type="dxa" w:w="2493"/>
            <w:shd w:val="clear" w:color="auto" w:fill="F1F8F2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6</w:t>
            </w:r>
          </w:p>
        </w:tc>
        <w:tc>
          <w:tcPr>
            <w:tcW w:type="dxa" w:w="2493"/>
            <w:shd w:val="clear" w:color="auto" w:fill="F1F8F2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113 921 €</w:t>
            </w:r>
          </w:p>
        </w:tc>
      </w:tr>
      <w:tr>
        <w:tc>
          <w:tcPr>
            <w:tcW w:type="dxa" w:w="2493"/>
            <w:shd w:val="clear" w:color="auto" w:fill="FFFFFF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PD Dolné Otrokovce s.r.o.</w:t>
            </w:r>
          </w:p>
        </w:tc>
        <w:tc>
          <w:tcPr>
            <w:tcW w:type="dxa" w:w="2493"/>
            <w:shd w:val="clear" w:color="auto" w:fill="FFFFFF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2022</w:t>
            </w:r>
          </w:p>
        </w:tc>
        <w:tc>
          <w:tcPr>
            <w:tcW w:type="dxa" w:w="2493"/>
            <w:shd w:val="clear" w:color="auto" w:fill="FFFFFF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6</w:t>
            </w:r>
          </w:p>
        </w:tc>
        <w:tc>
          <w:tcPr>
            <w:tcW w:type="dxa" w:w="2493"/>
            <w:shd w:val="clear" w:color="auto" w:fill="FFFFFF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278 963 €</w:t>
            </w:r>
          </w:p>
        </w:tc>
      </w:tr>
      <w:tr>
        <w:tc>
          <w:tcPr>
            <w:tcW w:type="dxa" w:w="2493"/>
            <w:shd w:val="clear" w:color="auto" w:fill="F1F8F2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Poľnohospodárske družstvo Šalgovce</w:t>
            </w:r>
          </w:p>
        </w:tc>
        <w:tc>
          <w:tcPr>
            <w:tcW w:type="dxa" w:w="2493"/>
            <w:shd w:val="clear" w:color="auto" w:fill="F1F8F2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2022</w:t>
            </w:r>
          </w:p>
        </w:tc>
        <w:tc>
          <w:tcPr>
            <w:tcW w:type="dxa" w:w="2493"/>
            <w:shd w:val="clear" w:color="auto" w:fill="F1F8F2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6</w:t>
            </w:r>
          </w:p>
        </w:tc>
        <w:tc>
          <w:tcPr>
            <w:tcW w:type="dxa" w:w="2493"/>
            <w:shd w:val="clear" w:color="auto" w:fill="F1F8F2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134 149 €</w:t>
            </w:r>
          </w:p>
        </w:tc>
      </w:tr>
      <w:tr>
        <w:tc>
          <w:tcPr>
            <w:tcW w:type="dxa" w:w="2493"/>
            <w:shd w:val="clear" w:color="auto" w:fill="FFFFFF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Poľnohospodárske družstvo Turiec</w:t>
            </w:r>
          </w:p>
        </w:tc>
        <w:tc>
          <w:tcPr>
            <w:tcW w:type="dxa" w:w="2493"/>
            <w:shd w:val="clear" w:color="auto" w:fill="FFFFFF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2022</w:t>
            </w:r>
          </w:p>
        </w:tc>
        <w:tc>
          <w:tcPr>
            <w:tcW w:type="dxa" w:w="2493"/>
            <w:shd w:val="clear" w:color="auto" w:fill="FFFFFF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5</w:t>
            </w:r>
          </w:p>
        </w:tc>
        <w:tc>
          <w:tcPr>
            <w:tcW w:type="dxa" w:w="2493"/>
            <w:shd w:val="clear" w:color="auto" w:fill="FFFFFF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126 178 €</w:t>
            </w:r>
          </w:p>
        </w:tc>
      </w:tr>
      <w:tr>
        <w:tc>
          <w:tcPr>
            <w:tcW w:type="dxa" w:w="2493"/>
            <w:shd w:val="clear" w:color="auto" w:fill="F1F8F2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Agrovia, a.s.</w:t>
            </w:r>
          </w:p>
        </w:tc>
        <w:tc>
          <w:tcPr>
            <w:tcW w:type="dxa" w:w="2493"/>
            <w:shd w:val="clear" w:color="auto" w:fill="F1F8F2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2022</w:t>
            </w:r>
          </w:p>
        </w:tc>
        <w:tc>
          <w:tcPr>
            <w:tcW w:type="dxa" w:w="2493"/>
            <w:shd w:val="clear" w:color="auto" w:fill="F1F8F2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5</w:t>
            </w:r>
          </w:p>
        </w:tc>
        <w:tc>
          <w:tcPr>
            <w:tcW w:type="dxa" w:w="2493"/>
            <w:shd w:val="clear" w:color="auto" w:fill="F1F8F2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192 151 €</w:t>
            </w:r>
          </w:p>
        </w:tc>
      </w:tr>
    </w:tbl>
    <w:p/>
    <w:p>
      <w:r>
        <w:rPr>
          <w:rFonts w:ascii="Arial" w:hAnsi="Arial"/>
          <w:b/>
          <w:sz w:val="20"/>
        </w:rPr>
        <w:t>Najčastejšie 'vstupná služba → pridaná služba' prechody:</w:t>
      </w:r>
    </w:p>
    <w:tbl>
      <w:tblPr>
        <w:tblW w:type="auto" w:w="0"/>
        <w:jc w:val="left"/>
        <w:tblLook w:firstColumn="1" w:firstRow="1" w:lastColumn="0" w:lastRow="0" w:noHBand="0" w:noVBand="1" w:val="04A0"/>
      </w:tblPr>
      <w:tblGrid>
        <w:gridCol w:w="3324"/>
        <w:gridCol w:w="3324"/>
        <w:gridCol w:w="3324"/>
      </w:tblGrid>
      <w:tr>
        <w:tc>
          <w:tcPr>
            <w:tcW w:type="dxa" w:w="3324"/>
            <w:shd w:val="clear" w:color="auto" w:fill="1F7A3A"/>
            <w:tcBorders>
              <w:top w:val="single" w:sz="4" w:color="FFFFFF"/>
              <w:left w:val="single" w:sz="4" w:color="FFFFFF"/>
              <w:bottom w:val="single" w:sz="4" w:color="FFFFFF"/>
              <w:right w:val="single" w:sz="4" w:color="FFFFFF"/>
            </w:tcBorders>
            <w:vAlign w:val="center"/>
          </w:tcPr>
          <w:p>
            <w:r/>
            <w:r>
              <w:rPr>
                <w:b/>
                <w:color w:val="FFFFFF"/>
                <w:sz w:val="18"/>
              </w:rPr>
              <w:t>Vstupná skupina</w:t>
            </w:r>
          </w:p>
        </w:tc>
        <w:tc>
          <w:tcPr>
            <w:tcW w:type="dxa" w:w="3324"/>
            <w:shd w:val="clear" w:color="auto" w:fill="1F7A3A"/>
            <w:tcBorders>
              <w:top w:val="single" w:sz="4" w:color="FFFFFF"/>
              <w:left w:val="single" w:sz="4" w:color="FFFFFF"/>
              <w:bottom w:val="single" w:sz="4" w:color="FFFFFF"/>
              <w:right w:val="single" w:sz="4" w:color="FFFFFF"/>
            </w:tcBorders>
            <w:vAlign w:val="center"/>
          </w:tcPr>
          <w:p>
            <w:r/>
            <w:r>
              <w:rPr>
                <w:b/>
                <w:color w:val="FFFFFF"/>
                <w:sz w:val="18"/>
              </w:rPr>
              <w:t>Pridaná skupina</w:t>
            </w:r>
          </w:p>
        </w:tc>
        <w:tc>
          <w:tcPr>
            <w:tcW w:type="dxa" w:w="3324"/>
            <w:shd w:val="clear" w:color="auto" w:fill="1F7A3A"/>
            <w:tcBorders>
              <w:top w:val="single" w:sz="4" w:color="FFFFFF"/>
              <w:left w:val="single" w:sz="4" w:color="FFFFFF"/>
              <w:bottom w:val="single" w:sz="4" w:color="FFFFFF"/>
              <w:right w:val="single" w:sz="4" w:color="FFFFFF"/>
            </w:tcBorders>
            <w:vAlign w:val="center"/>
          </w:tcPr>
          <w:p>
            <w:r/>
            <w:r>
              <w:rPr>
                <w:b/>
                <w:color w:val="FFFFFF"/>
                <w:sz w:val="18"/>
              </w:rPr>
              <w:t># klientov</w:t>
            </w:r>
          </w:p>
        </w:tc>
      </w:tr>
      <w:tr>
        <w:tc>
          <w:tcPr>
            <w:tcW w:type="dxa" w:w="3324"/>
            <w:shd w:val="clear" w:color="auto" w:fill="FFFFFF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Ostatné práce - KLIENT</w:t>
            </w:r>
          </w:p>
        </w:tc>
        <w:tc>
          <w:tcPr>
            <w:tcW w:type="dxa" w:w="3324"/>
            <w:shd w:val="clear" w:color="auto" w:fill="FFFFFF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Príprava pôdy</w:t>
            </w:r>
          </w:p>
        </w:tc>
        <w:tc>
          <w:tcPr>
            <w:tcW w:type="dxa" w:w="3324"/>
            <w:shd w:val="clear" w:color="auto" w:fill="FFFFFF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50</w:t>
            </w:r>
          </w:p>
        </w:tc>
      </w:tr>
      <w:tr>
        <w:tc>
          <w:tcPr>
            <w:tcW w:type="dxa" w:w="3324"/>
            <w:shd w:val="clear" w:color="auto" w:fill="F1F8F2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Ostatné práce - KLIENT</w:t>
            </w:r>
          </w:p>
        </w:tc>
        <w:tc>
          <w:tcPr>
            <w:tcW w:type="dxa" w:w="3324"/>
            <w:shd w:val="clear" w:color="auto" w:fill="F1F8F2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Sejba</w:t>
            </w:r>
          </w:p>
        </w:tc>
        <w:tc>
          <w:tcPr>
            <w:tcW w:type="dxa" w:w="3324"/>
            <w:shd w:val="clear" w:color="auto" w:fill="F1F8F2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40</w:t>
            </w:r>
          </w:p>
        </w:tc>
      </w:tr>
      <w:tr>
        <w:tc>
          <w:tcPr>
            <w:tcW w:type="dxa" w:w="3324"/>
            <w:shd w:val="clear" w:color="auto" w:fill="FFFFFF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Ostatné práce - KLIENT</w:t>
            </w:r>
          </w:p>
        </w:tc>
        <w:tc>
          <w:tcPr>
            <w:tcW w:type="dxa" w:w="3324"/>
            <w:shd w:val="clear" w:color="auto" w:fill="FFFFFF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Senážovanie</w:t>
            </w:r>
          </w:p>
        </w:tc>
        <w:tc>
          <w:tcPr>
            <w:tcW w:type="dxa" w:w="3324"/>
            <w:shd w:val="clear" w:color="auto" w:fill="FFFFFF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40</w:t>
            </w:r>
          </w:p>
        </w:tc>
      </w:tr>
      <w:tr>
        <w:tc>
          <w:tcPr>
            <w:tcW w:type="dxa" w:w="3324"/>
            <w:shd w:val="clear" w:color="auto" w:fill="F1F8F2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Hnojenie</w:t>
            </w:r>
          </w:p>
        </w:tc>
        <w:tc>
          <w:tcPr>
            <w:tcW w:type="dxa" w:w="3324"/>
            <w:shd w:val="clear" w:color="auto" w:fill="F1F8F2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Ostatné práce - KLIENT</w:t>
            </w:r>
          </w:p>
        </w:tc>
        <w:tc>
          <w:tcPr>
            <w:tcW w:type="dxa" w:w="3324"/>
            <w:shd w:val="clear" w:color="auto" w:fill="F1F8F2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39</w:t>
            </w:r>
          </w:p>
        </w:tc>
      </w:tr>
      <w:tr>
        <w:tc>
          <w:tcPr>
            <w:tcW w:type="dxa" w:w="3324"/>
            <w:shd w:val="clear" w:color="auto" w:fill="FFFFFF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Ostatné práce - KLIENT</w:t>
            </w:r>
          </w:p>
        </w:tc>
        <w:tc>
          <w:tcPr>
            <w:tcW w:type="dxa" w:w="3324"/>
            <w:shd w:val="clear" w:color="auto" w:fill="FFFFFF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Vakovanie</w:t>
            </w:r>
          </w:p>
        </w:tc>
        <w:tc>
          <w:tcPr>
            <w:tcW w:type="dxa" w:w="3324"/>
            <w:shd w:val="clear" w:color="auto" w:fill="FFFFFF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24</w:t>
            </w:r>
          </w:p>
        </w:tc>
      </w:tr>
      <w:tr>
        <w:tc>
          <w:tcPr>
            <w:tcW w:type="dxa" w:w="3324"/>
            <w:shd w:val="clear" w:color="auto" w:fill="F1F8F2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Ostatné práce - KLIENT</w:t>
            </w:r>
          </w:p>
        </w:tc>
        <w:tc>
          <w:tcPr>
            <w:tcW w:type="dxa" w:w="3324"/>
            <w:shd w:val="clear" w:color="auto" w:fill="F1F8F2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Silážovanie</w:t>
            </w:r>
          </w:p>
        </w:tc>
        <w:tc>
          <w:tcPr>
            <w:tcW w:type="dxa" w:w="3324"/>
            <w:shd w:val="clear" w:color="auto" w:fill="F1F8F2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19</w:t>
            </w:r>
          </w:p>
        </w:tc>
      </w:tr>
      <w:tr>
        <w:tc>
          <w:tcPr>
            <w:tcW w:type="dxa" w:w="3324"/>
            <w:shd w:val="clear" w:color="auto" w:fill="FFFFFF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Ostatné práce - KLIENT</w:t>
            </w:r>
          </w:p>
        </w:tc>
        <w:tc>
          <w:tcPr>
            <w:tcW w:type="dxa" w:w="3324"/>
            <w:shd w:val="clear" w:color="auto" w:fill="FFFFFF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Zelená žatva</w:t>
            </w:r>
          </w:p>
        </w:tc>
        <w:tc>
          <w:tcPr>
            <w:tcW w:type="dxa" w:w="3324"/>
            <w:shd w:val="clear" w:color="auto" w:fill="FFFFFF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19</w:t>
            </w:r>
          </w:p>
        </w:tc>
      </w:tr>
      <w:tr>
        <w:tc>
          <w:tcPr>
            <w:tcW w:type="dxa" w:w="3324"/>
            <w:shd w:val="clear" w:color="auto" w:fill="F1F8F2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Hnojenie</w:t>
            </w:r>
          </w:p>
        </w:tc>
        <w:tc>
          <w:tcPr>
            <w:tcW w:type="dxa" w:w="3324"/>
            <w:shd w:val="clear" w:color="auto" w:fill="F1F8F2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Sejba</w:t>
            </w:r>
          </w:p>
        </w:tc>
        <w:tc>
          <w:tcPr>
            <w:tcW w:type="dxa" w:w="3324"/>
            <w:shd w:val="clear" w:color="auto" w:fill="F1F8F2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16</w:t>
            </w:r>
          </w:p>
        </w:tc>
      </w:tr>
    </w:tbl>
    <w:p/>
    <w:p>
      <w:r>
        <w:rPr>
          <w:b/>
          <w:color w:val="1F7A3A"/>
          <w:sz w:val="28"/>
        </w:rPr>
        <w:t>6. Top-N koncentrácia</w:t>
      </w:r>
    </w:p>
    <w:tbl>
      <w:tblPr>
        <w:tblW w:type="auto" w:w="0"/>
        <w:jc w:val="left"/>
        <w:tblLook w:firstColumn="1" w:firstRow="1" w:lastColumn="0" w:lastRow="0" w:noHBand="0" w:noVBand="1" w:val="04A0"/>
      </w:tblPr>
      <w:tblGrid>
        <w:gridCol w:w="1662"/>
        <w:gridCol w:w="1662"/>
        <w:gridCol w:w="1662"/>
        <w:gridCol w:w="1662"/>
        <w:gridCol w:w="1662"/>
        <w:gridCol w:w="1662"/>
      </w:tblGrid>
      <w:tr>
        <w:tc>
          <w:tcPr>
            <w:tcW w:type="dxa" w:w="1662"/>
            <w:shd w:val="clear" w:color="auto" w:fill="1F7A3A"/>
            <w:tcBorders>
              <w:top w:val="single" w:sz="4" w:color="FFFFFF"/>
              <w:left w:val="single" w:sz="4" w:color="FFFFFF"/>
              <w:bottom w:val="single" w:sz="4" w:color="FFFFFF"/>
              <w:right w:val="single" w:sz="4" w:color="FFFFFF"/>
            </w:tcBorders>
            <w:vAlign w:val="center"/>
          </w:tcPr>
          <w:p>
            <w:r/>
            <w:r>
              <w:rPr>
                <w:b/>
                <w:color w:val="FFFFFF"/>
                <w:sz w:val="18"/>
              </w:rPr>
              <w:t>Rok</w:t>
            </w:r>
          </w:p>
        </w:tc>
        <w:tc>
          <w:tcPr>
            <w:tcW w:type="dxa" w:w="1662"/>
            <w:shd w:val="clear" w:color="auto" w:fill="1F7A3A"/>
            <w:tcBorders>
              <w:top w:val="single" w:sz="4" w:color="FFFFFF"/>
              <w:left w:val="single" w:sz="4" w:color="FFFFFF"/>
              <w:bottom w:val="single" w:sz="4" w:color="FFFFFF"/>
              <w:right w:val="single" w:sz="4" w:color="FFFFFF"/>
            </w:tcBorders>
            <w:vAlign w:val="center"/>
          </w:tcPr>
          <w:p>
            <w:r/>
            <w:r>
              <w:rPr>
                <w:b/>
                <w:color w:val="FFFFFF"/>
                <w:sz w:val="18"/>
              </w:rPr>
              <w:t>Aktívni klienti</w:t>
            </w:r>
          </w:p>
        </w:tc>
        <w:tc>
          <w:tcPr>
            <w:tcW w:type="dxa" w:w="1662"/>
            <w:shd w:val="clear" w:color="auto" w:fill="1F7A3A"/>
            <w:tcBorders>
              <w:top w:val="single" w:sz="4" w:color="FFFFFF"/>
              <w:left w:val="single" w:sz="4" w:color="FFFFFF"/>
              <w:bottom w:val="single" w:sz="4" w:color="FFFFFF"/>
              <w:right w:val="single" w:sz="4" w:color="FFFFFF"/>
            </w:tcBorders>
            <w:vAlign w:val="center"/>
          </w:tcPr>
          <w:p>
            <w:r/>
            <w:r>
              <w:rPr>
                <w:b/>
                <w:color w:val="FFFFFF"/>
                <w:sz w:val="18"/>
              </w:rPr>
              <w:t>Top 5</w:t>
            </w:r>
          </w:p>
        </w:tc>
        <w:tc>
          <w:tcPr>
            <w:tcW w:type="dxa" w:w="1662"/>
            <w:shd w:val="clear" w:color="auto" w:fill="1F7A3A"/>
            <w:tcBorders>
              <w:top w:val="single" w:sz="4" w:color="FFFFFF"/>
              <w:left w:val="single" w:sz="4" w:color="FFFFFF"/>
              <w:bottom w:val="single" w:sz="4" w:color="FFFFFF"/>
              <w:right w:val="single" w:sz="4" w:color="FFFFFF"/>
            </w:tcBorders>
            <w:vAlign w:val="center"/>
          </w:tcPr>
          <w:p>
            <w:r/>
            <w:r>
              <w:rPr>
                <w:b/>
                <w:color w:val="FFFFFF"/>
                <w:sz w:val="18"/>
              </w:rPr>
              <w:t>Top 10</w:t>
            </w:r>
          </w:p>
        </w:tc>
        <w:tc>
          <w:tcPr>
            <w:tcW w:type="dxa" w:w="1662"/>
            <w:shd w:val="clear" w:color="auto" w:fill="1F7A3A"/>
            <w:tcBorders>
              <w:top w:val="single" w:sz="4" w:color="FFFFFF"/>
              <w:left w:val="single" w:sz="4" w:color="FFFFFF"/>
              <w:bottom w:val="single" w:sz="4" w:color="FFFFFF"/>
              <w:right w:val="single" w:sz="4" w:color="FFFFFF"/>
            </w:tcBorders>
            <w:vAlign w:val="center"/>
          </w:tcPr>
          <w:p>
            <w:r/>
            <w:r>
              <w:rPr>
                <w:b/>
                <w:color w:val="FFFFFF"/>
                <w:sz w:val="18"/>
              </w:rPr>
              <w:t>Top 20</w:t>
            </w:r>
          </w:p>
        </w:tc>
        <w:tc>
          <w:tcPr>
            <w:tcW w:type="dxa" w:w="1662"/>
            <w:shd w:val="clear" w:color="auto" w:fill="1F7A3A"/>
            <w:tcBorders>
              <w:top w:val="single" w:sz="4" w:color="FFFFFF"/>
              <w:left w:val="single" w:sz="4" w:color="FFFFFF"/>
              <w:bottom w:val="single" w:sz="4" w:color="FFFFFF"/>
              <w:right w:val="single" w:sz="4" w:color="FFFFFF"/>
            </w:tcBorders>
            <w:vAlign w:val="center"/>
          </w:tcPr>
          <w:p>
            <w:r/>
            <w:r>
              <w:rPr>
                <w:b/>
                <w:color w:val="FFFFFF"/>
                <w:sz w:val="18"/>
              </w:rPr>
              <w:t>Klientov pre 80 %</w:t>
            </w:r>
          </w:p>
        </w:tc>
      </w:tr>
      <w:tr>
        <w:tc>
          <w:tcPr>
            <w:tcW w:type="dxa" w:w="1662"/>
            <w:shd w:val="clear" w:color="auto" w:fill="FFFFFF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2022</w:t>
            </w:r>
          </w:p>
        </w:tc>
        <w:tc>
          <w:tcPr>
            <w:tcW w:type="dxa" w:w="1662"/>
            <w:shd w:val="clear" w:color="auto" w:fill="FFFFFF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81</w:t>
            </w:r>
          </w:p>
        </w:tc>
        <w:tc>
          <w:tcPr>
            <w:tcW w:type="dxa" w:w="1662"/>
            <w:shd w:val="clear" w:color="auto" w:fill="FFFFFF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48.1 %</w:t>
            </w:r>
          </w:p>
        </w:tc>
        <w:tc>
          <w:tcPr>
            <w:tcW w:type="dxa" w:w="1662"/>
            <w:shd w:val="clear" w:color="auto" w:fill="FFFFFF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65.8 %</w:t>
            </w:r>
          </w:p>
        </w:tc>
        <w:tc>
          <w:tcPr>
            <w:tcW w:type="dxa" w:w="1662"/>
            <w:shd w:val="clear" w:color="auto" w:fill="FFFFFF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83.4 %</w:t>
            </w:r>
          </w:p>
        </w:tc>
        <w:tc>
          <w:tcPr>
            <w:tcW w:type="dxa" w:w="1662"/>
            <w:shd w:val="clear" w:color="auto" w:fill="FFFFFF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18.0 (22.2 %)</w:t>
            </w:r>
          </w:p>
        </w:tc>
      </w:tr>
      <w:tr>
        <w:tc>
          <w:tcPr>
            <w:tcW w:type="dxa" w:w="1662"/>
            <w:shd w:val="clear" w:color="auto" w:fill="F1F8F2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2023</w:t>
            </w:r>
          </w:p>
        </w:tc>
        <w:tc>
          <w:tcPr>
            <w:tcW w:type="dxa" w:w="1662"/>
            <w:shd w:val="clear" w:color="auto" w:fill="F1F8F2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113</w:t>
            </w:r>
          </w:p>
        </w:tc>
        <w:tc>
          <w:tcPr>
            <w:tcW w:type="dxa" w:w="1662"/>
            <w:shd w:val="clear" w:color="auto" w:fill="F1F8F2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41.9 %</w:t>
            </w:r>
          </w:p>
        </w:tc>
        <w:tc>
          <w:tcPr>
            <w:tcW w:type="dxa" w:w="1662"/>
            <w:shd w:val="clear" w:color="auto" w:fill="F1F8F2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59.2 %</w:t>
            </w:r>
          </w:p>
        </w:tc>
        <w:tc>
          <w:tcPr>
            <w:tcW w:type="dxa" w:w="1662"/>
            <w:shd w:val="clear" w:color="auto" w:fill="F1F8F2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74.4 %</w:t>
            </w:r>
          </w:p>
        </w:tc>
        <w:tc>
          <w:tcPr>
            <w:tcW w:type="dxa" w:w="1662"/>
            <w:shd w:val="clear" w:color="auto" w:fill="F1F8F2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27.0 (23.9 %)</w:t>
            </w:r>
          </w:p>
        </w:tc>
      </w:tr>
      <w:tr>
        <w:tc>
          <w:tcPr>
            <w:tcW w:type="dxa" w:w="1662"/>
            <w:shd w:val="clear" w:color="auto" w:fill="FFFFFF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2024</w:t>
            </w:r>
          </w:p>
        </w:tc>
        <w:tc>
          <w:tcPr>
            <w:tcW w:type="dxa" w:w="1662"/>
            <w:shd w:val="clear" w:color="auto" w:fill="FFFFFF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126</w:t>
            </w:r>
          </w:p>
        </w:tc>
        <w:tc>
          <w:tcPr>
            <w:tcW w:type="dxa" w:w="1662"/>
            <w:shd w:val="clear" w:color="auto" w:fill="FFFFFF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27.4 %</w:t>
            </w:r>
          </w:p>
        </w:tc>
        <w:tc>
          <w:tcPr>
            <w:tcW w:type="dxa" w:w="1662"/>
            <w:shd w:val="clear" w:color="auto" w:fill="FFFFFF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45.1 %</w:t>
            </w:r>
          </w:p>
        </w:tc>
        <w:tc>
          <w:tcPr>
            <w:tcW w:type="dxa" w:w="1662"/>
            <w:shd w:val="clear" w:color="auto" w:fill="FFFFFF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63.9 %</w:t>
            </w:r>
          </w:p>
        </w:tc>
        <w:tc>
          <w:tcPr>
            <w:tcW w:type="dxa" w:w="1662"/>
            <w:shd w:val="clear" w:color="auto" w:fill="FFFFFF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37.0 (29.4 %)</w:t>
            </w:r>
          </w:p>
        </w:tc>
      </w:tr>
      <w:tr>
        <w:tc>
          <w:tcPr>
            <w:tcW w:type="dxa" w:w="1662"/>
            <w:shd w:val="clear" w:color="auto" w:fill="F1F8F2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2025</w:t>
            </w:r>
          </w:p>
        </w:tc>
        <w:tc>
          <w:tcPr>
            <w:tcW w:type="dxa" w:w="1662"/>
            <w:shd w:val="clear" w:color="auto" w:fill="F1F8F2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131</w:t>
            </w:r>
          </w:p>
        </w:tc>
        <w:tc>
          <w:tcPr>
            <w:tcW w:type="dxa" w:w="1662"/>
            <w:shd w:val="clear" w:color="auto" w:fill="F1F8F2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23.8 %</w:t>
            </w:r>
          </w:p>
        </w:tc>
        <w:tc>
          <w:tcPr>
            <w:tcW w:type="dxa" w:w="1662"/>
            <w:shd w:val="clear" w:color="auto" w:fill="F1F8F2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41.3 %</w:t>
            </w:r>
          </w:p>
        </w:tc>
        <w:tc>
          <w:tcPr>
            <w:tcW w:type="dxa" w:w="1662"/>
            <w:shd w:val="clear" w:color="auto" w:fill="F1F8F2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61.6 %</w:t>
            </w:r>
          </w:p>
        </w:tc>
        <w:tc>
          <w:tcPr>
            <w:tcW w:type="dxa" w:w="1662"/>
            <w:shd w:val="clear" w:color="auto" w:fill="F1F8F2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36.0 (27.5 %)</w:t>
            </w:r>
          </w:p>
        </w:tc>
      </w:tr>
      <w:tr>
        <w:tc>
          <w:tcPr>
            <w:tcW w:type="dxa" w:w="1662"/>
            <w:shd w:val="clear" w:color="auto" w:fill="FFFFFF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2026</w:t>
            </w:r>
          </w:p>
        </w:tc>
        <w:tc>
          <w:tcPr>
            <w:tcW w:type="dxa" w:w="1662"/>
            <w:shd w:val="clear" w:color="auto" w:fill="FFFFFF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32</w:t>
            </w:r>
          </w:p>
        </w:tc>
        <w:tc>
          <w:tcPr>
            <w:tcW w:type="dxa" w:w="1662"/>
            <w:shd w:val="clear" w:color="auto" w:fill="FFFFFF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54.5 %</w:t>
            </w:r>
          </w:p>
        </w:tc>
        <w:tc>
          <w:tcPr>
            <w:tcW w:type="dxa" w:w="1662"/>
            <w:shd w:val="clear" w:color="auto" w:fill="FFFFFF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74.2 %</w:t>
            </w:r>
          </w:p>
        </w:tc>
        <w:tc>
          <w:tcPr>
            <w:tcW w:type="dxa" w:w="1662"/>
            <w:shd w:val="clear" w:color="auto" w:fill="FFFFFF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93.4 %</w:t>
            </w:r>
          </w:p>
        </w:tc>
        <w:tc>
          <w:tcPr>
            <w:tcW w:type="dxa" w:w="1662"/>
            <w:shd w:val="clear" w:color="auto" w:fill="FFFFFF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13.0 (40.6 %)</w:t>
            </w:r>
          </w:p>
        </w:tc>
      </w:tr>
    </w:tbl>
    <w:p/>
    <w:p>
      <w:r>
        <w:rPr>
          <w:rFonts w:ascii="Arial" w:hAnsi="Arial"/>
          <w:b/>
          <w:sz w:val="20"/>
        </w:rPr>
        <w:t>Top 15 klienti lifetime (2022-2026 spolu):</w:t>
      </w:r>
    </w:p>
    <w:tbl>
      <w:tblPr>
        <w:tblW w:type="auto" w:w="0"/>
        <w:jc w:val="left"/>
        <w:tblLook w:firstColumn="1" w:firstRow="1" w:lastColumn="0" w:lastRow="0" w:noHBand="0" w:noVBand="1" w:val="04A0"/>
      </w:tblPr>
      <w:tblGrid>
        <w:gridCol w:w="2493"/>
        <w:gridCol w:w="2493"/>
        <w:gridCol w:w="2493"/>
        <w:gridCol w:w="2493"/>
      </w:tblGrid>
      <w:tr>
        <w:tc>
          <w:tcPr>
            <w:tcW w:type="dxa" w:w="2493"/>
            <w:shd w:val="clear" w:color="auto" w:fill="1F7A3A"/>
            <w:tcBorders>
              <w:top w:val="single" w:sz="4" w:color="FFFFFF"/>
              <w:left w:val="single" w:sz="4" w:color="FFFFFF"/>
              <w:bottom w:val="single" w:sz="4" w:color="FFFFFF"/>
              <w:right w:val="single" w:sz="4" w:color="FFFFFF"/>
            </w:tcBorders>
            <w:vAlign w:val="center"/>
          </w:tcPr>
          <w:p>
            <w:r/>
            <w:r>
              <w:rPr>
                <w:b/>
                <w:color w:val="FFFFFF"/>
                <w:sz w:val="18"/>
              </w:rPr>
              <w:t>#</w:t>
            </w:r>
          </w:p>
        </w:tc>
        <w:tc>
          <w:tcPr>
            <w:tcW w:type="dxa" w:w="2493"/>
            <w:shd w:val="clear" w:color="auto" w:fill="1F7A3A"/>
            <w:tcBorders>
              <w:top w:val="single" w:sz="4" w:color="FFFFFF"/>
              <w:left w:val="single" w:sz="4" w:color="FFFFFF"/>
              <w:bottom w:val="single" w:sz="4" w:color="FFFFFF"/>
              <w:right w:val="single" w:sz="4" w:color="FFFFFF"/>
            </w:tcBorders>
            <w:vAlign w:val="center"/>
          </w:tcPr>
          <w:p>
            <w:r/>
            <w:r>
              <w:rPr>
                <w:b/>
                <w:color w:val="FFFFFF"/>
                <w:sz w:val="18"/>
              </w:rPr>
              <w:t>Klient</w:t>
            </w:r>
          </w:p>
        </w:tc>
        <w:tc>
          <w:tcPr>
            <w:tcW w:type="dxa" w:w="2493"/>
            <w:shd w:val="clear" w:color="auto" w:fill="1F7A3A"/>
            <w:tcBorders>
              <w:top w:val="single" w:sz="4" w:color="FFFFFF"/>
              <w:left w:val="single" w:sz="4" w:color="FFFFFF"/>
              <w:bottom w:val="single" w:sz="4" w:color="FFFFFF"/>
              <w:right w:val="single" w:sz="4" w:color="FFFFFF"/>
            </w:tcBorders>
            <w:vAlign w:val="center"/>
          </w:tcPr>
          <w:p>
            <w:r/>
            <w:r>
              <w:rPr>
                <w:b/>
                <w:color w:val="FFFFFF"/>
                <w:sz w:val="18"/>
              </w:rPr>
              <w:t>Tržba lifetime</w:t>
            </w:r>
          </w:p>
        </w:tc>
        <w:tc>
          <w:tcPr>
            <w:tcW w:type="dxa" w:w="2493"/>
            <w:shd w:val="clear" w:color="auto" w:fill="1F7A3A"/>
            <w:tcBorders>
              <w:top w:val="single" w:sz="4" w:color="FFFFFF"/>
              <w:left w:val="single" w:sz="4" w:color="FFFFFF"/>
              <w:bottom w:val="single" w:sz="4" w:color="FFFFFF"/>
              <w:right w:val="single" w:sz="4" w:color="FFFFFF"/>
            </w:tcBorders>
            <w:vAlign w:val="center"/>
          </w:tcPr>
          <w:p>
            <w:r/>
            <w:r>
              <w:rPr>
                <w:b/>
                <w:color w:val="FFFFFF"/>
                <w:sz w:val="18"/>
              </w:rPr>
              <w:t>% z celku</w:t>
            </w:r>
          </w:p>
        </w:tc>
      </w:tr>
      <w:tr>
        <w:tc>
          <w:tcPr>
            <w:tcW w:type="dxa" w:w="2493"/>
            <w:shd w:val="clear" w:color="auto" w:fill="FFFFFF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1</w:t>
            </w:r>
          </w:p>
        </w:tc>
        <w:tc>
          <w:tcPr>
            <w:tcW w:type="dxa" w:w="2493"/>
            <w:shd w:val="clear" w:color="auto" w:fill="FFFFFF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TATRA-AGROLEV, s.r.o.</w:t>
            </w:r>
          </w:p>
        </w:tc>
        <w:tc>
          <w:tcPr>
            <w:tcW w:type="dxa" w:w="2493"/>
            <w:shd w:val="clear" w:color="auto" w:fill="FFFFFF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853 513 €</w:t>
            </w:r>
          </w:p>
        </w:tc>
        <w:tc>
          <w:tcPr>
            <w:tcW w:type="dxa" w:w="2493"/>
            <w:shd w:val="clear" w:color="auto" w:fill="FFFFFF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8.10 %</w:t>
            </w:r>
          </w:p>
        </w:tc>
      </w:tr>
      <w:tr>
        <w:tc>
          <w:tcPr>
            <w:tcW w:type="dxa" w:w="2493"/>
            <w:shd w:val="clear" w:color="auto" w:fill="F1F8F2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type="dxa" w:w="2493"/>
            <w:shd w:val="clear" w:color="auto" w:fill="F1F8F2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FOOD FARM, s.r.o.</w:t>
            </w:r>
          </w:p>
        </w:tc>
        <w:tc>
          <w:tcPr>
            <w:tcW w:type="dxa" w:w="2493"/>
            <w:shd w:val="clear" w:color="auto" w:fill="F1F8F2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684 528 €</w:t>
            </w:r>
          </w:p>
        </w:tc>
        <w:tc>
          <w:tcPr>
            <w:tcW w:type="dxa" w:w="2493"/>
            <w:shd w:val="clear" w:color="auto" w:fill="F1F8F2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6.50 %</w:t>
            </w:r>
          </w:p>
        </w:tc>
      </w:tr>
      <w:tr>
        <w:tc>
          <w:tcPr>
            <w:tcW w:type="dxa" w:w="2493"/>
            <w:shd w:val="clear" w:color="auto" w:fill="FFFFFF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3</w:t>
            </w:r>
          </w:p>
        </w:tc>
        <w:tc>
          <w:tcPr>
            <w:tcW w:type="dxa" w:w="2493"/>
            <w:shd w:val="clear" w:color="auto" w:fill="FFFFFF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PD Dobrá Niva, a.s.</w:t>
            </w:r>
          </w:p>
        </w:tc>
        <w:tc>
          <w:tcPr>
            <w:tcW w:type="dxa" w:w="2493"/>
            <w:shd w:val="clear" w:color="auto" w:fill="FFFFFF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444 782 €</w:t>
            </w:r>
          </w:p>
        </w:tc>
        <w:tc>
          <w:tcPr>
            <w:tcW w:type="dxa" w:w="2493"/>
            <w:shd w:val="clear" w:color="auto" w:fill="FFFFFF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4.22 %</w:t>
            </w:r>
          </w:p>
        </w:tc>
      </w:tr>
      <w:tr>
        <w:tc>
          <w:tcPr>
            <w:tcW w:type="dxa" w:w="2493"/>
            <w:shd w:val="clear" w:color="auto" w:fill="F1F8F2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4</w:t>
            </w:r>
          </w:p>
        </w:tc>
        <w:tc>
          <w:tcPr>
            <w:tcW w:type="dxa" w:w="2493"/>
            <w:shd w:val="clear" w:color="auto" w:fill="F1F8F2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AGRIFOP, a.s. Stakčín</w:t>
            </w:r>
          </w:p>
        </w:tc>
        <w:tc>
          <w:tcPr>
            <w:tcW w:type="dxa" w:w="2493"/>
            <w:shd w:val="clear" w:color="auto" w:fill="F1F8F2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419 931 €</w:t>
            </w:r>
          </w:p>
        </w:tc>
        <w:tc>
          <w:tcPr>
            <w:tcW w:type="dxa" w:w="2493"/>
            <w:shd w:val="clear" w:color="auto" w:fill="F1F8F2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3.98 %</w:t>
            </w:r>
          </w:p>
        </w:tc>
      </w:tr>
      <w:tr>
        <w:tc>
          <w:tcPr>
            <w:tcW w:type="dxa" w:w="2493"/>
            <w:shd w:val="clear" w:color="auto" w:fill="FFFFFF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5</w:t>
            </w:r>
          </w:p>
        </w:tc>
        <w:tc>
          <w:tcPr>
            <w:tcW w:type="dxa" w:w="2493"/>
            <w:shd w:val="clear" w:color="auto" w:fill="FFFFFF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MaJa, s.r.o.</w:t>
            </w:r>
          </w:p>
        </w:tc>
        <w:tc>
          <w:tcPr>
            <w:tcW w:type="dxa" w:w="2493"/>
            <w:shd w:val="clear" w:color="auto" w:fill="FFFFFF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380 255 €</w:t>
            </w:r>
          </w:p>
        </w:tc>
        <w:tc>
          <w:tcPr>
            <w:tcW w:type="dxa" w:w="2493"/>
            <w:shd w:val="clear" w:color="auto" w:fill="FFFFFF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3.61 %</w:t>
            </w:r>
          </w:p>
        </w:tc>
      </w:tr>
      <w:tr>
        <w:tc>
          <w:tcPr>
            <w:tcW w:type="dxa" w:w="2493"/>
            <w:shd w:val="clear" w:color="auto" w:fill="F1F8F2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6</w:t>
            </w:r>
          </w:p>
        </w:tc>
        <w:tc>
          <w:tcPr>
            <w:tcW w:type="dxa" w:w="2493"/>
            <w:shd w:val="clear" w:color="auto" w:fill="F1F8F2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RD SITNO PRENČOV a.s.</w:t>
            </w:r>
          </w:p>
        </w:tc>
        <w:tc>
          <w:tcPr>
            <w:tcW w:type="dxa" w:w="2493"/>
            <w:shd w:val="clear" w:color="auto" w:fill="F1F8F2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373 844 €</w:t>
            </w:r>
          </w:p>
        </w:tc>
        <w:tc>
          <w:tcPr>
            <w:tcW w:type="dxa" w:w="2493"/>
            <w:shd w:val="clear" w:color="auto" w:fill="F1F8F2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3.55 %</w:t>
            </w:r>
          </w:p>
        </w:tc>
      </w:tr>
      <w:tr>
        <w:tc>
          <w:tcPr>
            <w:tcW w:type="dxa" w:w="2493"/>
            <w:shd w:val="clear" w:color="auto" w:fill="FFFFFF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7</w:t>
            </w:r>
          </w:p>
        </w:tc>
        <w:tc>
          <w:tcPr>
            <w:tcW w:type="dxa" w:w="2493"/>
            <w:shd w:val="clear" w:color="auto" w:fill="FFFFFF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PD Dolné Otrokovce s.r.o.</w:t>
            </w:r>
          </w:p>
        </w:tc>
        <w:tc>
          <w:tcPr>
            <w:tcW w:type="dxa" w:w="2493"/>
            <w:shd w:val="clear" w:color="auto" w:fill="FFFFFF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359 624 €</w:t>
            </w:r>
          </w:p>
        </w:tc>
        <w:tc>
          <w:tcPr>
            <w:tcW w:type="dxa" w:w="2493"/>
            <w:shd w:val="clear" w:color="auto" w:fill="FFFFFF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3.41 %</w:t>
            </w:r>
          </w:p>
        </w:tc>
      </w:tr>
      <w:tr>
        <w:tc>
          <w:tcPr>
            <w:tcW w:type="dxa" w:w="2493"/>
            <w:shd w:val="clear" w:color="auto" w:fill="F1F8F2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8</w:t>
            </w:r>
          </w:p>
        </w:tc>
        <w:tc>
          <w:tcPr>
            <w:tcW w:type="dxa" w:w="2493"/>
            <w:shd w:val="clear" w:color="auto" w:fill="F1F8F2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Agrovia, a.s.</w:t>
            </w:r>
          </w:p>
        </w:tc>
        <w:tc>
          <w:tcPr>
            <w:tcW w:type="dxa" w:w="2493"/>
            <w:shd w:val="clear" w:color="auto" w:fill="F1F8F2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287 052 €</w:t>
            </w:r>
          </w:p>
        </w:tc>
        <w:tc>
          <w:tcPr>
            <w:tcW w:type="dxa" w:w="2493"/>
            <w:shd w:val="clear" w:color="auto" w:fill="F1F8F2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2.72 %</w:t>
            </w:r>
          </w:p>
        </w:tc>
      </w:tr>
      <w:tr>
        <w:tc>
          <w:tcPr>
            <w:tcW w:type="dxa" w:w="2493"/>
            <w:shd w:val="clear" w:color="auto" w:fill="FFFFFF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9</w:t>
            </w:r>
          </w:p>
        </w:tc>
        <w:tc>
          <w:tcPr>
            <w:tcW w:type="dxa" w:w="2493"/>
            <w:shd w:val="clear" w:color="auto" w:fill="FFFFFF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AGROPODNIK Želovce, s. r. o.</w:t>
            </w:r>
          </w:p>
        </w:tc>
        <w:tc>
          <w:tcPr>
            <w:tcW w:type="dxa" w:w="2493"/>
            <w:shd w:val="clear" w:color="auto" w:fill="FFFFFF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256 113 €</w:t>
            </w:r>
          </w:p>
        </w:tc>
        <w:tc>
          <w:tcPr>
            <w:tcW w:type="dxa" w:w="2493"/>
            <w:shd w:val="clear" w:color="auto" w:fill="FFFFFF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2.43 %</w:t>
            </w:r>
          </w:p>
        </w:tc>
      </w:tr>
      <w:tr>
        <w:tc>
          <w:tcPr>
            <w:tcW w:type="dxa" w:w="2493"/>
            <w:shd w:val="clear" w:color="auto" w:fill="F1F8F2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10</w:t>
            </w:r>
          </w:p>
        </w:tc>
        <w:tc>
          <w:tcPr>
            <w:tcW w:type="dxa" w:w="2493"/>
            <w:shd w:val="clear" w:color="auto" w:fill="F1F8F2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Roľnícke družstvo Samuela Jurkoviča</w:t>
            </w:r>
          </w:p>
        </w:tc>
        <w:tc>
          <w:tcPr>
            <w:tcW w:type="dxa" w:w="2493"/>
            <w:shd w:val="clear" w:color="auto" w:fill="F1F8F2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253 054 €</w:t>
            </w:r>
          </w:p>
        </w:tc>
        <w:tc>
          <w:tcPr>
            <w:tcW w:type="dxa" w:w="2493"/>
            <w:shd w:val="clear" w:color="auto" w:fill="F1F8F2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2.40 %</w:t>
            </w:r>
          </w:p>
        </w:tc>
      </w:tr>
      <w:tr>
        <w:tc>
          <w:tcPr>
            <w:tcW w:type="dxa" w:w="2493"/>
            <w:shd w:val="clear" w:color="auto" w:fill="FFFFFF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11</w:t>
            </w:r>
          </w:p>
        </w:tc>
        <w:tc>
          <w:tcPr>
            <w:tcW w:type="dxa" w:w="2493"/>
            <w:shd w:val="clear" w:color="auto" w:fill="FFFFFF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POĽNOPRODUKT Čierny Balog, družstvo</w:t>
            </w:r>
          </w:p>
        </w:tc>
        <w:tc>
          <w:tcPr>
            <w:tcW w:type="dxa" w:w="2493"/>
            <w:shd w:val="clear" w:color="auto" w:fill="FFFFFF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243 292 €</w:t>
            </w:r>
          </w:p>
        </w:tc>
        <w:tc>
          <w:tcPr>
            <w:tcW w:type="dxa" w:w="2493"/>
            <w:shd w:val="clear" w:color="auto" w:fill="FFFFFF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2.31 %</w:t>
            </w:r>
          </w:p>
        </w:tc>
      </w:tr>
      <w:tr>
        <w:tc>
          <w:tcPr>
            <w:tcW w:type="dxa" w:w="2493"/>
            <w:shd w:val="clear" w:color="auto" w:fill="F1F8F2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12</w:t>
            </w:r>
          </w:p>
        </w:tc>
        <w:tc>
          <w:tcPr>
            <w:tcW w:type="dxa" w:w="2493"/>
            <w:shd w:val="clear" w:color="auto" w:fill="F1F8F2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AGROSOLUM, s.r.o.</w:t>
            </w:r>
          </w:p>
        </w:tc>
        <w:tc>
          <w:tcPr>
            <w:tcW w:type="dxa" w:w="2493"/>
            <w:shd w:val="clear" w:color="auto" w:fill="F1F8F2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236 153 €</w:t>
            </w:r>
          </w:p>
        </w:tc>
        <w:tc>
          <w:tcPr>
            <w:tcW w:type="dxa" w:w="2493"/>
            <w:shd w:val="clear" w:color="auto" w:fill="F1F8F2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2.24 %</w:t>
            </w:r>
          </w:p>
        </w:tc>
      </w:tr>
      <w:tr>
        <w:tc>
          <w:tcPr>
            <w:tcW w:type="dxa" w:w="2493"/>
            <w:shd w:val="clear" w:color="auto" w:fill="FFFFFF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13</w:t>
            </w:r>
          </w:p>
        </w:tc>
        <w:tc>
          <w:tcPr>
            <w:tcW w:type="dxa" w:w="2493"/>
            <w:shd w:val="clear" w:color="auto" w:fill="FFFFFF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Poľnohospodárske družstvo Šalgovce</w:t>
            </w:r>
          </w:p>
        </w:tc>
        <w:tc>
          <w:tcPr>
            <w:tcW w:type="dxa" w:w="2493"/>
            <w:shd w:val="clear" w:color="auto" w:fill="FFFFFF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227 432 €</w:t>
            </w:r>
          </w:p>
        </w:tc>
        <w:tc>
          <w:tcPr>
            <w:tcW w:type="dxa" w:w="2493"/>
            <w:shd w:val="clear" w:color="auto" w:fill="FFFFFF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2.16 %</w:t>
            </w:r>
          </w:p>
        </w:tc>
      </w:tr>
      <w:tr>
        <w:tc>
          <w:tcPr>
            <w:tcW w:type="dxa" w:w="2493"/>
            <w:shd w:val="clear" w:color="auto" w:fill="F1F8F2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14</w:t>
            </w:r>
          </w:p>
        </w:tc>
        <w:tc>
          <w:tcPr>
            <w:tcW w:type="dxa" w:w="2493"/>
            <w:shd w:val="clear" w:color="auto" w:fill="F1F8F2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Poľnohospodárske družstvo Stará Kremnička</w:t>
            </w:r>
          </w:p>
        </w:tc>
        <w:tc>
          <w:tcPr>
            <w:tcW w:type="dxa" w:w="2493"/>
            <w:shd w:val="clear" w:color="auto" w:fill="F1F8F2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218 174 €</w:t>
            </w:r>
          </w:p>
        </w:tc>
        <w:tc>
          <w:tcPr>
            <w:tcW w:type="dxa" w:w="2493"/>
            <w:shd w:val="clear" w:color="auto" w:fill="F1F8F2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2.07 %</w:t>
            </w:r>
          </w:p>
        </w:tc>
      </w:tr>
      <w:tr>
        <w:tc>
          <w:tcPr>
            <w:tcW w:type="dxa" w:w="2493"/>
            <w:shd w:val="clear" w:color="auto" w:fill="FFFFFF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15</w:t>
            </w:r>
          </w:p>
        </w:tc>
        <w:tc>
          <w:tcPr>
            <w:tcW w:type="dxa" w:w="2493"/>
            <w:shd w:val="clear" w:color="auto" w:fill="FFFFFF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AGRO - HÁJ Mošovce, a.s.</w:t>
            </w:r>
          </w:p>
        </w:tc>
        <w:tc>
          <w:tcPr>
            <w:tcW w:type="dxa" w:w="2493"/>
            <w:shd w:val="clear" w:color="auto" w:fill="FFFFFF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216 763 €</w:t>
            </w:r>
          </w:p>
        </w:tc>
        <w:tc>
          <w:tcPr>
            <w:tcW w:type="dxa" w:w="2493"/>
            <w:shd w:val="clear" w:color="auto" w:fill="FFFFFF"/>
            <w:tcBorders>
              <w:top w:val="single" w:sz="4" w:color="DDDDDD"/>
              <w:left w:val="single" w:sz="4" w:color="DDDDDD"/>
              <w:bottom w:val="single" w:sz="4" w:color="DDDDDD"/>
              <w:right w:val="single" w:sz="4" w:color="DDDDDD"/>
            </w:tcBorders>
            <w:vAlign w:val="center"/>
          </w:tcPr>
          <w:p>
            <w:r/>
            <w:r>
              <w:rPr>
                <w:rFonts w:ascii="Arial" w:hAnsi="Arial"/>
                <w:sz w:val="18"/>
              </w:rPr>
              <w:t>2.06 %</w:t>
            </w:r>
          </w:p>
        </w:tc>
      </w:tr>
    </w:tbl>
    <w:p/>
    <w:p>
      <w:r>
        <w:rPr>
          <w:b/>
          <w:color w:val="1F7A3A"/>
          <w:sz w:val="28"/>
        </w:rPr>
        <w:t>7. Odporúčania</w:t>
      </w:r>
    </w:p>
    <w:p>
      <w:r>
        <w:rPr>
          <w:b/>
          <w:color w:val="1F7A3A"/>
          <w:sz w:val="22"/>
        </w:rPr>
        <w:t>1. Retention program</w:t>
      </w:r>
    </w:p>
    <w:p>
      <w:pPr>
        <w:spacing w:after="160"/>
        <w:ind w:left="283"/>
      </w:pPr>
      <w:r>
        <w:rPr>
          <w:sz w:val="20"/>
        </w:rPr>
        <w:t>Štruktúrovaný proces pre klientov s contraction signálom (tržba YoY &lt; 80 %). 2024→2025 malo 36 klientov contraction = 682k € erodovaných. Postačí mesačný 'klient health check'.</w:t>
      </w:r>
    </w:p>
    <w:p>
      <w:r>
        <w:rPr>
          <w:b/>
          <w:color w:val="1F7A3A"/>
          <w:sz w:val="22"/>
        </w:rPr>
        <w:t>2. Win-back kampaň pre churned 2024</w:t>
      </w:r>
    </w:p>
    <w:p>
      <w:pPr>
        <w:spacing w:after="160"/>
        <w:ind w:left="283"/>
      </w:pPr>
      <w:r>
        <w:rPr>
          <w:sz w:val="20"/>
        </w:rPr>
        <w:t>42 klientov odišlo medzi 2023-2024 (837k €). Niektorí možno len mali zlú sezónu. Cielený outreach na top 10 z týchto môže recoverovať aj 200-300k €.</w:t>
      </w:r>
    </w:p>
    <w:p>
      <w:r>
        <w:rPr>
          <w:b/>
          <w:color w:val="1F7A3A"/>
          <w:sz w:val="22"/>
        </w:rPr>
        <w:t>3. Cross-sell pacing</w:t>
      </w:r>
    </w:p>
    <w:p>
      <w:pPr>
        <w:spacing w:after="160"/>
        <w:ind w:left="283"/>
      </w:pPr>
      <w:r>
        <w:rPr>
          <w:sz w:val="20"/>
        </w:rPr>
        <w:t>POĽNOPRODUKT Čierny Balog a RD Sam. Jurkoviča pridali 8 služieb každý — replikovateľný pattern. Identifikovať klientov v kohorte 2024 čo majú len 1-2 služby a aktívne im ponúknuť ďalšie 2-3 (Príprava pôdy, Sejba, Senážovanie sú top expansion produkty).</w:t>
      </w:r>
    </w:p>
    <w:p>
      <w:r>
        <w:rPr>
          <w:b/>
          <w:color w:val="1F7A3A"/>
          <w:sz w:val="22"/>
        </w:rPr>
        <w:t>4. Diverzifikačný target</w:t>
      </w:r>
    </w:p>
    <w:p>
      <w:pPr>
        <w:spacing w:after="160"/>
        <w:ind w:left="283"/>
      </w:pPr>
      <w:r>
        <w:rPr>
          <w:sz w:val="20"/>
        </w:rPr>
        <w:t>Stratégia 'menej veľkých = viac stredných' funguje (Top 10 podiel klesol z 66% na 41%). Cieľ pre 2026: nech žiadny klient netvorí &gt;7 % tržieb (FOOD FARM aktuálne 7,3 % v 2025 — sledovať).</w:t>
      </w:r>
    </w:p>
    <w:p>
      <w:r>
        <w:rPr>
          <w:b/>
          <w:color w:val="1F7A3A"/>
          <w:sz w:val="22"/>
        </w:rPr>
        <w:t>5. 2026 sezóna kritická</w:t>
      </w:r>
    </w:p>
    <w:p>
      <w:pPr>
        <w:spacing w:after="160"/>
        <w:ind w:left="283"/>
      </w:pPr>
      <w:r>
        <w:rPr>
          <w:sz w:val="20"/>
        </w:rPr>
        <w:t>Apríl 2026 ešte len začiatok. Pre validáciu trendov treba zopakovať túto analýzu po júl/august 2026 (po hlavnej sezóne silážovania a senážovania).</w:t>
      </w:r>
    </w:p>
    <w:p/>
    <w:p>
      <w:r>
        <w:rPr>
          <w:rFonts w:ascii="Arial" w:hAnsi="Arial"/>
          <w:i/>
          <w:color w:val="999999"/>
          <w:sz w:val="16"/>
        </w:rPr>
        <w:t>Zdroj dát: ST_Prace_Analyza_v2.xlsx (klient × rok pivot, generovaná z DEFAULT_ST.xlsx 43 007 záznamov 2022-01 — 2026-04-29) + ST_Práce_ALL_2025-07-18.xlsx (cross-sell detail). DEFAULT_ST.xlsx je v OneDrive sync čiastočne corrupted (sharedStrings.xml truncated) — odporúčam re-export z účtovnej evidencie.</w:t>
      </w:r>
    </w:p>
    <w:sectPr w:rsidR="00FC693F" w:rsidRPr="0006063C" w:rsidSect="00034616">
      <w:pgSz w:w="12240" w:h="15840"/>
      <w:pgMar w:top="1134" w:right="1134" w:bottom="1134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Arial" w:hAnsi="Arial"/>
      <w:sz w:val="20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